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34F56" w14:textId="66764200" w:rsidR="005014A2" w:rsidRPr="00547C26" w:rsidRDefault="005014A2" w:rsidP="005014A2">
      <w:pPr>
        <w:widowControl w:val="0"/>
        <w:tabs>
          <w:tab w:val="right" w:pos="9639"/>
        </w:tabs>
        <w:spacing w:after="0"/>
        <w:rPr>
          <w:rFonts w:ascii="Arial" w:eastAsia="SimSun" w:hAnsi="Arial" w:cs="Arial"/>
          <w:b/>
          <w:bCs/>
          <w:i/>
          <w:sz w:val="32"/>
          <w:lang w:eastAsia="zh-CN"/>
        </w:rPr>
      </w:pPr>
      <w:bookmarkStart w:id="0" w:name="_Hlk40295327"/>
      <w:bookmarkStart w:id="1" w:name="OLE_LINK5"/>
      <w:bookmarkStart w:id="2" w:name="OLE_LINK6"/>
      <w:bookmarkStart w:id="3" w:name="historyclause"/>
      <w:bookmarkEnd w:id="0"/>
      <w:r w:rsidRPr="00547C26">
        <w:rPr>
          <w:rFonts w:ascii="Arial" w:eastAsia="SimSun" w:hAnsi="Arial" w:cs="Arial"/>
          <w:b/>
          <w:bCs/>
          <w:sz w:val="24"/>
        </w:rPr>
        <w:t>3GPP T</w:t>
      </w:r>
      <w:bookmarkStart w:id="4" w:name="_Ref452454252"/>
      <w:bookmarkEnd w:id="4"/>
      <w:r w:rsidRPr="00547C26">
        <w:rPr>
          <w:rFonts w:ascii="Arial" w:eastAsia="SimSun" w:hAnsi="Arial" w:cs="Arial"/>
          <w:b/>
          <w:bCs/>
          <w:sz w:val="24"/>
        </w:rPr>
        <w:t xml:space="preserve">SG-RAN </w:t>
      </w:r>
      <w:r w:rsidRPr="00547C26">
        <w:rPr>
          <w:rFonts w:ascii="Arial" w:eastAsia="SimSun" w:hAnsi="Arial" w:cs="Arial"/>
          <w:b/>
          <w:sz w:val="24"/>
        </w:rPr>
        <w:t>WG4 Meeting</w:t>
      </w:r>
      <w:r w:rsidR="00E870CF" w:rsidRPr="00547C26">
        <w:rPr>
          <w:rFonts w:ascii="Arial" w:eastAsia="SimSun" w:hAnsi="Arial" w:cs="Arial"/>
          <w:b/>
          <w:sz w:val="24"/>
        </w:rPr>
        <w:t xml:space="preserve"> </w:t>
      </w:r>
      <w:r w:rsidRPr="00547C26">
        <w:rPr>
          <w:rFonts w:ascii="Arial" w:eastAsia="SimSun" w:hAnsi="Arial" w:cs="Arial"/>
          <w:b/>
          <w:sz w:val="24"/>
        </w:rPr>
        <w:t>#1</w:t>
      </w:r>
      <w:r w:rsidR="00DC3248" w:rsidRPr="00547C26">
        <w:rPr>
          <w:rFonts w:ascii="Arial" w:eastAsia="SimSun" w:hAnsi="Arial" w:cs="Arial"/>
          <w:b/>
          <w:sz w:val="24"/>
        </w:rPr>
        <w:t>10</w:t>
      </w:r>
      <w:r w:rsidRPr="00547C26">
        <w:rPr>
          <w:rFonts w:ascii="Arial" w:eastAsia="SimSun" w:hAnsi="Arial" w:cs="Arial"/>
          <w:b/>
          <w:sz w:val="24"/>
        </w:rPr>
        <w:t xml:space="preserve">    </w:t>
      </w:r>
      <w:r w:rsidRPr="00547C26">
        <w:rPr>
          <w:rFonts w:ascii="Arial" w:eastAsia="SimSun" w:hAnsi="Arial" w:cs="Arial"/>
          <w:b/>
          <w:bCs/>
          <w:sz w:val="24"/>
        </w:rPr>
        <w:tab/>
      </w:r>
      <w:r w:rsidR="00661AA4" w:rsidRPr="00661AA4">
        <w:rPr>
          <w:rFonts w:ascii="Arial" w:eastAsia="SimSun" w:hAnsi="Arial" w:cs="Arial"/>
          <w:b/>
          <w:bCs/>
          <w:sz w:val="24"/>
          <w:lang w:eastAsia="ja-JP"/>
        </w:rPr>
        <w:t>R4-240362</w:t>
      </w:r>
      <w:r w:rsidR="000545B8">
        <w:rPr>
          <w:rFonts w:ascii="Arial" w:eastAsia="SimSun" w:hAnsi="Arial" w:cs="Arial"/>
          <w:b/>
          <w:bCs/>
          <w:sz w:val="24"/>
          <w:lang w:eastAsia="ja-JP"/>
        </w:rPr>
        <w:t>8</w:t>
      </w:r>
    </w:p>
    <w:p w14:paraId="06F793FA" w14:textId="3D7C866E" w:rsidR="005014A2" w:rsidRPr="00547C26" w:rsidRDefault="00DC3248" w:rsidP="005014A2">
      <w:pPr>
        <w:widowControl w:val="0"/>
        <w:tabs>
          <w:tab w:val="right" w:pos="9639"/>
        </w:tabs>
        <w:spacing w:after="0"/>
        <w:rPr>
          <w:rFonts w:ascii="Arial" w:eastAsia="SimSun" w:hAnsi="Arial" w:cs="Arial"/>
          <w:b/>
          <w:sz w:val="24"/>
        </w:rPr>
      </w:pPr>
      <w:r w:rsidRPr="00547C26">
        <w:rPr>
          <w:rFonts w:ascii="Arial" w:eastAsia="SimSun" w:hAnsi="Arial" w:cs="Arial"/>
          <w:b/>
          <w:sz w:val="24"/>
        </w:rPr>
        <w:t>Athens</w:t>
      </w:r>
      <w:r w:rsidR="005014A2" w:rsidRPr="00547C26">
        <w:rPr>
          <w:rFonts w:ascii="Arial" w:eastAsia="SimSun" w:hAnsi="Arial" w:cs="Arial"/>
          <w:b/>
          <w:sz w:val="24"/>
        </w:rPr>
        <w:t>,</w:t>
      </w:r>
      <w:r w:rsidR="00E870CF" w:rsidRPr="00547C26">
        <w:rPr>
          <w:rFonts w:ascii="Arial" w:eastAsia="SimSun" w:hAnsi="Arial" w:cs="Arial"/>
          <w:b/>
          <w:sz w:val="24"/>
        </w:rPr>
        <w:t xml:space="preserve"> </w:t>
      </w:r>
      <w:r w:rsidRPr="00547C26">
        <w:rPr>
          <w:rFonts w:ascii="Arial" w:eastAsia="SimSun" w:hAnsi="Arial" w:cs="Arial"/>
          <w:b/>
          <w:sz w:val="24"/>
        </w:rPr>
        <w:t>Greece</w:t>
      </w:r>
      <w:r w:rsidR="00E870CF" w:rsidRPr="00547C26">
        <w:rPr>
          <w:rFonts w:ascii="Arial" w:eastAsia="SimSun" w:hAnsi="Arial" w:cs="Arial"/>
          <w:b/>
          <w:sz w:val="24"/>
        </w:rPr>
        <w:t>,</w:t>
      </w:r>
      <w:r w:rsidR="005014A2" w:rsidRPr="00547C26">
        <w:rPr>
          <w:rFonts w:ascii="Arial" w:eastAsia="SimSun" w:hAnsi="Arial" w:cs="Arial"/>
          <w:b/>
          <w:sz w:val="24"/>
        </w:rPr>
        <w:t xml:space="preserve"> </w:t>
      </w:r>
      <w:r w:rsidRPr="00547C26">
        <w:rPr>
          <w:rFonts w:ascii="Arial" w:eastAsia="SimSun" w:hAnsi="Arial" w:cs="Arial"/>
          <w:b/>
          <w:sz w:val="24"/>
        </w:rPr>
        <w:t xml:space="preserve">26 </w:t>
      </w:r>
      <w:r w:rsidR="00AF4AA5" w:rsidRPr="00547C26">
        <w:rPr>
          <w:rFonts w:ascii="Arial" w:eastAsia="SimSun" w:hAnsi="Arial" w:cs="Arial"/>
          <w:b/>
          <w:sz w:val="24"/>
        </w:rPr>
        <w:t>February</w:t>
      </w:r>
      <w:r w:rsidR="005014A2" w:rsidRPr="00547C26">
        <w:rPr>
          <w:rFonts w:ascii="Arial" w:eastAsia="SimSun" w:hAnsi="Arial" w:cs="Arial"/>
          <w:b/>
          <w:sz w:val="24"/>
        </w:rPr>
        <w:t xml:space="preserve"> – </w:t>
      </w:r>
      <w:r w:rsidR="00DA30DD" w:rsidRPr="00547C26">
        <w:rPr>
          <w:rFonts w:ascii="Arial" w:eastAsia="SimSun" w:hAnsi="Arial" w:cs="Arial"/>
          <w:b/>
          <w:sz w:val="24"/>
        </w:rPr>
        <w:t>1</w:t>
      </w:r>
      <w:r w:rsidR="005014A2" w:rsidRPr="00547C26">
        <w:rPr>
          <w:rFonts w:ascii="Arial" w:eastAsia="SimSun" w:hAnsi="Arial" w:cs="Arial"/>
          <w:b/>
          <w:sz w:val="24"/>
        </w:rPr>
        <w:t xml:space="preserve"> </w:t>
      </w:r>
      <w:r w:rsidR="001763F4" w:rsidRPr="00547C26">
        <w:rPr>
          <w:rFonts w:ascii="Arial" w:eastAsia="SimSun" w:hAnsi="Arial" w:cs="Arial"/>
          <w:b/>
          <w:sz w:val="24"/>
        </w:rPr>
        <w:t>March</w:t>
      </w:r>
      <w:r w:rsidR="005014A2" w:rsidRPr="00547C26">
        <w:rPr>
          <w:rFonts w:ascii="Arial" w:eastAsia="SimSun" w:hAnsi="Arial" w:cs="Arial"/>
          <w:b/>
          <w:sz w:val="24"/>
        </w:rPr>
        <w:t xml:space="preserve"> 202</w:t>
      </w:r>
      <w:r w:rsidRPr="00547C26">
        <w:rPr>
          <w:rFonts w:ascii="Arial" w:eastAsia="SimSun" w:hAnsi="Arial" w:cs="Arial"/>
          <w:b/>
          <w:sz w:val="24"/>
        </w:rPr>
        <w:t>3</w:t>
      </w:r>
    </w:p>
    <w:bookmarkEnd w:id="1"/>
    <w:bookmarkEnd w:id="2"/>
    <w:p w14:paraId="53185EA3" w14:textId="77777777" w:rsidR="005014A2" w:rsidRPr="00547C26" w:rsidRDefault="005014A2">
      <w:pPr>
        <w:pStyle w:val="CH"/>
      </w:pPr>
    </w:p>
    <w:p w14:paraId="2C7E3A16" w14:textId="6DE8CAEC" w:rsidR="00466E2C" w:rsidRPr="00547C26" w:rsidRDefault="00F257E9">
      <w:pPr>
        <w:pStyle w:val="CH"/>
        <w:rPr>
          <w:lang w:val="en-US"/>
        </w:rPr>
      </w:pPr>
      <w:r w:rsidRPr="00547C26">
        <w:t>Title:</w:t>
      </w:r>
      <w:r w:rsidRPr="00547C26">
        <w:tab/>
      </w:r>
      <w:r w:rsidR="00AF4AA5" w:rsidRPr="00547C26">
        <w:t xml:space="preserve">WF on </w:t>
      </w:r>
      <w:r w:rsidR="008D1C7A">
        <w:t>PC2 HPUE MSD</w:t>
      </w:r>
    </w:p>
    <w:p w14:paraId="64476BC1" w14:textId="6BFE70FE" w:rsidR="007B6528" w:rsidRPr="00547C26" w:rsidRDefault="00F257E9">
      <w:pPr>
        <w:pStyle w:val="CH"/>
      </w:pPr>
      <w:r w:rsidRPr="00547C26">
        <w:t>Agenda item:</w:t>
      </w:r>
      <w:r w:rsidRPr="00547C26">
        <w:tab/>
      </w:r>
      <w:r w:rsidR="000545B8">
        <w:t>7.19.2</w:t>
      </w:r>
    </w:p>
    <w:p w14:paraId="22FDA8EE" w14:textId="21311D5D" w:rsidR="007B6528" w:rsidRPr="00547C26" w:rsidRDefault="00F257E9">
      <w:pPr>
        <w:pStyle w:val="CH"/>
        <w:rPr>
          <w:b w:val="0"/>
        </w:rPr>
      </w:pPr>
      <w:r w:rsidRPr="00547C26">
        <w:t>Source:</w:t>
      </w:r>
      <w:r w:rsidRPr="00547C26">
        <w:tab/>
      </w:r>
      <w:r w:rsidR="00DE054A" w:rsidRPr="00547C26">
        <w:t>Skyworks</w:t>
      </w:r>
      <w:r w:rsidR="000545B8">
        <w:t xml:space="preserve"> Solutions Inc.</w:t>
      </w:r>
      <w:r w:rsidR="004D4F27">
        <w:t>, Huawei</w:t>
      </w:r>
      <w:r w:rsidR="00661AA4">
        <w:t xml:space="preserve">, </w:t>
      </w:r>
      <w:r w:rsidR="008D16AE">
        <w:t>Qualcomm Inc.</w:t>
      </w:r>
    </w:p>
    <w:p w14:paraId="78466675" w14:textId="77777777" w:rsidR="007B6528" w:rsidRPr="00547C26" w:rsidRDefault="00F257E9">
      <w:pPr>
        <w:pStyle w:val="CH"/>
      </w:pPr>
      <w:r w:rsidRPr="00547C26">
        <w:t>Document for:</w:t>
      </w:r>
      <w:r w:rsidRPr="00547C26">
        <w:tab/>
        <w:t>Approval</w:t>
      </w:r>
    </w:p>
    <w:p w14:paraId="0059ABA0" w14:textId="7895D45C" w:rsidR="007B6528" w:rsidRPr="00547C26" w:rsidRDefault="00271FE1" w:rsidP="00527EB7">
      <w:pPr>
        <w:pStyle w:val="Heading1"/>
        <w:ind w:left="567" w:hanging="567"/>
        <w:rPr>
          <w:rFonts w:cs="Arial"/>
        </w:rPr>
      </w:pPr>
      <w:r w:rsidRPr="00547C26">
        <w:rPr>
          <w:rFonts w:cs="Arial"/>
        </w:rPr>
        <w:t>1</w:t>
      </w:r>
      <w:r w:rsidRPr="00547C26">
        <w:rPr>
          <w:rFonts w:cs="Arial"/>
        </w:rPr>
        <w:tab/>
      </w:r>
      <w:r w:rsidR="00527EB7">
        <w:rPr>
          <w:rFonts w:cs="Arial"/>
        </w:rPr>
        <w:t>Introduction</w:t>
      </w:r>
      <w:r w:rsidR="00F257E9" w:rsidRPr="00547C26">
        <w:rPr>
          <w:rFonts w:cs="Arial"/>
        </w:rPr>
        <w:t xml:space="preserve"> </w:t>
      </w:r>
    </w:p>
    <w:p w14:paraId="1148CF65" w14:textId="0C17C3A3" w:rsidR="008D16AE" w:rsidRPr="00547C26" w:rsidRDefault="008D16AE" w:rsidP="008D16AE">
      <w:pPr>
        <w:rPr>
          <w:rFonts w:ascii="Arial" w:hAnsi="Arial" w:cs="Arial"/>
        </w:rPr>
      </w:pPr>
      <w:r w:rsidRPr="00547C26">
        <w:rPr>
          <w:rFonts w:ascii="Arial" w:hAnsi="Arial" w:cs="Arial"/>
        </w:rPr>
        <w:t>The reference sensitivity (REFSENS) power level requirements for intra-band CA are currently specified only for power class 3 (PC3). Request</w:t>
      </w:r>
      <w:r>
        <w:rPr>
          <w:rFonts w:ascii="Arial" w:hAnsi="Arial" w:cs="Arial"/>
        </w:rPr>
        <w:t>s</w:t>
      </w:r>
      <w:r w:rsidRPr="00547C26">
        <w:rPr>
          <w:rFonts w:ascii="Arial" w:hAnsi="Arial" w:cs="Arial"/>
        </w:rPr>
        <w:t xml:space="preserve"> for </w:t>
      </w:r>
      <w:r>
        <w:rPr>
          <w:rFonts w:ascii="Arial" w:hAnsi="Arial" w:cs="Arial"/>
        </w:rPr>
        <w:t xml:space="preserve">FDD </w:t>
      </w:r>
      <w:r w:rsidRPr="00547C26">
        <w:rPr>
          <w:rFonts w:ascii="Arial" w:hAnsi="Arial" w:cs="Arial"/>
        </w:rPr>
        <w:t>PC2 operation require new REFSENS tables. This WF captures a framework on how to capture the PC2 FDD REFSENS following initial proposals in [1,2]</w:t>
      </w:r>
      <w:r w:rsidR="008E67A6">
        <w:rPr>
          <w:rFonts w:ascii="Arial" w:hAnsi="Arial" w:cs="Arial"/>
        </w:rPr>
        <w:t xml:space="preserve"> for intra-band CA. This WF also captures agreements to simplify PC2 FDD 1UL MSD tables for inter-band CA.</w:t>
      </w:r>
    </w:p>
    <w:p w14:paraId="2179EAC5" w14:textId="77777777" w:rsidR="00F35AF1" w:rsidRPr="00545579" w:rsidRDefault="00F35AF1" w:rsidP="00F35AF1">
      <w:pPr>
        <w:keepNext/>
        <w:keepLines/>
        <w:numPr>
          <w:ilvl w:val="0"/>
          <w:numId w:val="3"/>
        </w:numPr>
        <w:pBdr>
          <w:top w:val="single" w:sz="12" w:space="3" w:color="auto"/>
        </w:pBdr>
        <w:overflowPunct w:val="0"/>
        <w:autoSpaceDE w:val="0"/>
        <w:autoSpaceDN w:val="0"/>
        <w:adjustRightInd w:val="0"/>
        <w:spacing w:after="120"/>
        <w:ind w:left="567" w:hanging="567"/>
        <w:textAlignment w:val="baseline"/>
        <w:outlineLvl w:val="0"/>
        <w:rPr>
          <w:rFonts w:ascii="Arial" w:eastAsia="Times New Roman" w:hAnsi="Arial" w:cs="Arial"/>
          <w:sz w:val="36"/>
          <w:lang w:eastAsia="en-GB"/>
        </w:rPr>
      </w:pPr>
      <w:r w:rsidRPr="00547C26">
        <w:rPr>
          <w:rFonts w:ascii="Arial" w:eastAsia="Times New Roman" w:hAnsi="Arial" w:cs="Arial"/>
          <w:sz w:val="36"/>
          <w:lang w:eastAsia="en-GB"/>
        </w:rPr>
        <w:t xml:space="preserve">On parameter </w:t>
      </w:r>
      <w:r w:rsidRPr="00547C26">
        <w:rPr>
          <w:rFonts w:ascii="Arial" w:eastAsia="MS Mincho" w:hAnsi="Arial" w:cs="Arial"/>
          <w:bCs/>
          <w:sz w:val="36"/>
          <w:szCs w:val="36"/>
        </w:rPr>
        <w:t>Δ</w:t>
      </w:r>
      <w:proofErr w:type="gramStart"/>
      <w:r w:rsidRPr="00547C26">
        <w:rPr>
          <w:rFonts w:ascii="Arial" w:eastAsia="MS Mincho" w:hAnsi="Arial" w:cs="Arial"/>
          <w:bCs/>
          <w:sz w:val="36"/>
          <w:szCs w:val="36"/>
        </w:rPr>
        <w:t>R</w:t>
      </w:r>
      <w:r w:rsidRPr="00547C26">
        <w:rPr>
          <w:rFonts w:ascii="Arial" w:eastAsia="MS Mincho" w:hAnsi="Arial" w:cs="Arial"/>
          <w:bCs/>
          <w:sz w:val="36"/>
          <w:szCs w:val="36"/>
          <w:vertAlign w:val="subscript"/>
        </w:rPr>
        <w:t>IBNC</w:t>
      </w:r>
      <w:r w:rsidRPr="00547C26">
        <w:rPr>
          <w:rFonts w:ascii="Arial" w:eastAsia="MS Mincho" w:hAnsi="Arial" w:cs="Arial"/>
          <w:b/>
          <w:sz w:val="36"/>
          <w:szCs w:val="36"/>
        </w:rPr>
        <w:t>,</w:t>
      </w:r>
      <w:r w:rsidRPr="00547C26">
        <w:rPr>
          <w:rFonts w:ascii="Arial" w:eastAsia="MS Mincho" w:hAnsi="Arial" w:cs="Arial"/>
          <w:b/>
          <w:sz w:val="36"/>
          <w:szCs w:val="36"/>
          <w:vertAlign w:val="subscript"/>
        </w:rPr>
        <w:t xml:space="preserve">  </w:t>
      </w:r>
      <w:r w:rsidRPr="00547C26">
        <w:rPr>
          <w:rFonts w:ascii="Arial" w:eastAsia="MS Mincho" w:hAnsi="Arial" w:cs="Arial"/>
          <w:bCs/>
          <w:sz w:val="36"/>
          <w:szCs w:val="36"/>
        </w:rPr>
        <w:t>Δ</w:t>
      </w:r>
      <w:proofErr w:type="gramEnd"/>
      <w:r w:rsidRPr="00547C26">
        <w:rPr>
          <w:rFonts w:ascii="Arial" w:eastAsia="MS Mincho" w:hAnsi="Arial" w:cs="Arial"/>
          <w:bCs/>
          <w:sz w:val="36"/>
          <w:szCs w:val="36"/>
        </w:rPr>
        <w:t>R</w:t>
      </w:r>
      <w:r w:rsidRPr="00547C26">
        <w:rPr>
          <w:rFonts w:ascii="Arial" w:eastAsia="MS Mincho" w:hAnsi="Arial" w:cs="Arial"/>
          <w:bCs/>
          <w:sz w:val="36"/>
          <w:szCs w:val="36"/>
          <w:vertAlign w:val="subscript"/>
        </w:rPr>
        <w:t>IBC</w:t>
      </w:r>
    </w:p>
    <w:p w14:paraId="71AA725E" w14:textId="7C507DF8" w:rsidR="00AE7A99" w:rsidRPr="00547C26" w:rsidRDefault="00AE7A99" w:rsidP="00545579">
      <w:pPr>
        <w:pStyle w:val="Heading1"/>
        <w:spacing w:before="0" w:after="120"/>
        <w:rPr>
          <w:rFonts w:cs="Arial"/>
          <w:sz w:val="32"/>
          <w:szCs w:val="18"/>
        </w:rPr>
      </w:pPr>
      <w:r w:rsidRPr="00547C26">
        <w:rPr>
          <w:rFonts w:cs="Arial"/>
          <w:sz w:val="32"/>
          <w:szCs w:val="18"/>
        </w:rPr>
        <w:t xml:space="preserve">2.1 </w:t>
      </w:r>
      <w:r w:rsidRPr="00547C26">
        <w:rPr>
          <w:rFonts w:cs="Arial"/>
          <w:sz w:val="32"/>
          <w:szCs w:val="18"/>
        </w:rPr>
        <w:tab/>
        <w:t>Background</w:t>
      </w:r>
    </w:p>
    <w:p w14:paraId="59ACEB09" w14:textId="4E07D9A2" w:rsidR="00AE7A99" w:rsidRPr="00547C26" w:rsidRDefault="00E1357B" w:rsidP="00AE7A99">
      <w:pPr>
        <w:rPr>
          <w:rFonts w:ascii="Arial" w:hAnsi="Arial" w:cs="Arial"/>
        </w:rPr>
      </w:pPr>
      <w:r w:rsidRPr="00547C26">
        <w:rPr>
          <w:rFonts w:ascii="Arial" w:hAnsi="Arial" w:cs="Arial"/>
        </w:rPr>
        <w:t xml:space="preserve">Intra-band CA REFSENS requirements are specified as a REFSENS </w:t>
      </w:r>
      <w:r w:rsidR="00615627" w:rsidRPr="00547C26">
        <w:rPr>
          <w:rFonts w:ascii="Arial" w:hAnsi="Arial" w:cs="Arial"/>
        </w:rPr>
        <w:t>relaxation</w:t>
      </w:r>
      <w:r w:rsidRPr="00547C26">
        <w:rPr>
          <w:rFonts w:ascii="Arial" w:hAnsi="Arial" w:cs="Arial"/>
        </w:rPr>
        <w:t xml:space="preserve"> using</w:t>
      </w:r>
      <w:r w:rsidR="00430C62">
        <w:rPr>
          <w:rFonts w:ascii="Arial" w:hAnsi="Arial" w:cs="Arial"/>
        </w:rPr>
        <w:t xml:space="preserve"> (</w:t>
      </w:r>
      <w:r w:rsidR="00430C62" w:rsidRPr="00D00B42">
        <w:rPr>
          <w:rFonts w:ascii="Arial" w:hAnsi="Arial" w:cs="Arial"/>
        </w:rPr>
        <w:fldChar w:fldCharType="begin"/>
      </w:r>
      <w:r w:rsidR="00430C62" w:rsidRPr="00D00B42">
        <w:rPr>
          <w:rFonts w:ascii="Arial" w:hAnsi="Arial" w:cs="Arial"/>
        </w:rPr>
        <w:instrText xml:space="preserve"> REF _Ref159920727 \h  \* MERGEFORMAT </w:instrText>
      </w:r>
      <w:r w:rsidR="00430C62" w:rsidRPr="00D00B42">
        <w:rPr>
          <w:rFonts w:ascii="Arial" w:hAnsi="Arial" w:cs="Arial"/>
        </w:rPr>
      </w:r>
      <w:r w:rsidR="00430C62" w:rsidRPr="00D00B42">
        <w:rPr>
          <w:rFonts w:ascii="Arial" w:hAnsi="Arial" w:cs="Arial"/>
        </w:rPr>
        <w:fldChar w:fldCharType="separate"/>
      </w:r>
      <w:r w:rsidR="00430C62" w:rsidRPr="00D00B42">
        <w:rPr>
          <w:rFonts w:ascii="Arial" w:hAnsi="Arial" w:cs="Arial"/>
        </w:rPr>
        <w:t xml:space="preserve">Figure </w:t>
      </w:r>
      <w:r w:rsidR="00430C62" w:rsidRPr="00D00B42">
        <w:rPr>
          <w:rFonts w:ascii="Arial" w:hAnsi="Arial" w:cs="Arial"/>
          <w:noProof/>
        </w:rPr>
        <w:t>1</w:t>
      </w:r>
      <w:r w:rsidR="00430C62" w:rsidRPr="00D00B42">
        <w:rPr>
          <w:rFonts w:ascii="Arial" w:hAnsi="Arial" w:cs="Arial"/>
        </w:rPr>
        <w:fldChar w:fldCharType="end"/>
      </w:r>
      <w:r w:rsidR="00430C62">
        <w:rPr>
          <w:rFonts w:ascii="Arial" w:hAnsi="Arial" w:cs="Arial"/>
        </w:rPr>
        <w:t>)</w:t>
      </w:r>
      <w:r w:rsidRPr="00547C26">
        <w:rPr>
          <w:rFonts w:ascii="Arial" w:hAnsi="Arial" w:cs="Arial"/>
        </w:rPr>
        <w:t xml:space="preserve">: </w:t>
      </w:r>
    </w:p>
    <w:p w14:paraId="4807FD44" w14:textId="72EA2E03" w:rsidR="00E1357B" w:rsidRPr="00547C26" w:rsidRDefault="00E1357B" w:rsidP="00E1357B">
      <w:pPr>
        <w:pStyle w:val="ListParagraph"/>
        <w:numPr>
          <w:ilvl w:val="0"/>
          <w:numId w:val="21"/>
        </w:numPr>
        <w:rPr>
          <w:rFonts w:ascii="Arial" w:hAnsi="Arial" w:cs="Arial"/>
        </w:rPr>
      </w:pPr>
      <w:r w:rsidRPr="00547C26">
        <w:rPr>
          <w:rFonts w:ascii="Arial" w:eastAsia="MS Mincho" w:hAnsi="Arial" w:cs="Arial"/>
          <w:bCs/>
        </w:rPr>
        <w:t>ΔR</w:t>
      </w:r>
      <w:r w:rsidRPr="00547C26">
        <w:rPr>
          <w:rFonts w:ascii="Arial" w:eastAsia="MS Mincho" w:hAnsi="Arial" w:cs="Arial"/>
          <w:bCs/>
          <w:vertAlign w:val="subscript"/>
        </w:rPr>
        <w:t xml:space="preserve">IBC </w:t>
      </w:r>
      <w:r w:rsidRPr="00547C26">
        <w:rPr>
          <w:rFonts w:ascii="Arial" w:eastAsia="MS Mincho" w:hAnsi="Arial" w:cs="Arial"/>
          <w:bCs/>
        </w:rPr>
        <w:t>for intra-band contiguous CA,</w:t>
      </w:r>
    </w:p>
    <w:p w14:paraId="1B830F85" w14:textId="77167ADB" w:rsidR="00E1357B" w:rsidRPr="00547C26" w:rsidRDefault="00E1357B" w:rsidP="00E1357B">
      <w:pPr>
        <w:pStyle w:val="ListParagraph"/>
        <w:numPr>
          <w:ilvl w:val="0"/>
          <w:numId w:val="21"/>
        </w:numPr>
        <w:rPr>
          <w:rFonts w:ascii="Arial" w:hAnsi="Arial" w:cs="Arial"/>
        </w:rPr>
      </w:pPr>
      <w:r w:rsidRPr="00547C26">
        <w:rPr>
          <w:rFonts w:ascii="Arial" w:eastAsia="MS Mincho" w:hAnsi="Arial" w:cs="Arial"/>
          <w:bCs/>
        </w:rPr>
        <w:t>ΔR</w:t>
      </w:r>
      <w:r w:rsidRPr="00547C26">
        <w:rPr>
          <w:rFonts w:ascii="Arial" w:eastAsia="MS Mincho" w:hAnsi="Arial" w:cs="Arial"/>
          <w:bCs/>
          <w:vertAlign w:val="subscript"/>
        </w:rPr>
        <w:t xml:space="preserve">IBNC </w:t>
      </w:r>
      <w:r w:rsidRPr="00547C26">
        <w:rPr>
          <w:rFonts w:ascii="Arial" w:eastAsia="MS Mincho" w:hAnsi="Arial" w:cs="Arial"/>
          <w:bCs/>
        </w:rPr>
        <w:t>for intra-band non-contiguous CA.</w:t>
      </w:r>
    </w:p>
    <w:p w14:paraId="0F803D3E" w14:textId="73BEA9CD" w:rsidR="00E1357B" w:rsidRPr="00547C26" w:rsidRDefault="00E1357B" w:rsidP="00B36D98">
      <w:pPr>
        <w:pStyle w:val="Caption"/>
        <w:spacing w:after="0"/>
        <w:rPr>
          <w:rFonts w:ascii="Arial" w:hAnsi="Arial" w:cs="Arial"/>
        </w:rPr>
      </w:pPr>
      <w:r w:rsidRPr="00547C26">
        <w:rPr>
          <w:rFonts w:ascii="Arial" w:hAnsi="Arial" w:cs="Arial"/>
          <w:noProof/>
        </w:rPr>
        <w:drawing>
          <wp:inline distT="0" distB="0" distL="0" distR="0" wp14:anchorId="648BBA75" wp14:editId="3E6E078E">
            <wp:extent cx="6122035" cy="531495"/>
            <wp:effectExtent l="38100" t="38100" r="88265" b="97155"/>
            <wp:docPr id="3434868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486839" name=""/>
                    <pic:cNvPicPr/>
                  </pic:nvPicPr>
                  <pic:blipFill>
                    <a:blip r:embed="rId10"/>
                    <a:stretch>
                      <a:fillRect/>
                    </a:stretch>
                  </pic:blipFill>
                  <pic:spPr>
                    <a:xfrm>
                      <a:off x="0" y="0"/>
                      <a:ext cx="6122035" cy="531495"/>
                    </a:xfrm>
                    <a:prstGeom prst="rect">
                      <a:avLst/>
                    </a:prstGeom>
                    <a:effectLst>
                      <a:outerShdw blurRad="50800" dist="38100" dir="2700000" algn="tl" rotWithShape="0">
                        <a:prstClr val="black">
                          <a:alpha val="40000"/>
                        </a:prstClr>
                      </a:outerShdw>
                    </a:effectLst>
                  </pic:spPr>
                </pic:pic>
              </a:graphicData>
            </a:graphic>
          </wp:inline>
        </w:drawing>
      </w:r>
    </w:p>
    <w:p w14:paraId="4EDE9D98" w14:textId="6D817B29" w:rsidR="00DA30DD" w:rsidRDefault="00E1357B" w:rsidP="00B36D98">
      <w:pPr>
        <w:spacing w:after="0"/>
        <w:jc w:val="center"/>
        <w:rPr>
          <w:rFonts w:ascii="Arial" w:hAnsi="Arial" w:cs="Arial"/>
        </w:rPr>
      </w:pPr>
      <w:bookmarkStart w:id="5" w:name="_Ref159920727"/>
      <w:r w:rsidRPr="00547C26">
        <w:rPr>
          <w:rFonts w:ascii="Arial" w:hAnsi="Arial" w:cs="Arial"/>
          <w:b/>
          <w:bCs/>
        </w:rPr>
        <w:t xml:space="preserve">Figure </w:t>
      </w:r>
      <w:r w:rsidRPr="00547C26">
        <w:rPr>
          <w:rFonts w:ascii="Arial" w:hAnsi="Arial" w:cs="Arial"/>
          <w:b/>
          <w:bCs/>
        </w:rPr>
        <w:fldChar w:fldCharType="begin"/>
      </w:r>
      <w:r w:rsidRPr="00547C26">
        <w:rPr>
          <w:rFonts w:ascii="Arial" w:hAnsi="Arial" w:cs="Arial"/>
          <w:b/>
          <w:bCs/>
        </w:rPr>
        <w:instrText xml:space="preserve"> SEQ Figure \* ARABIC </w:instrText>
      </w:r>
      <w:r w:rsidRPr="00547C26">
        <w:rPr>
          <w:rFonts w:ascii="Arial" w:hAnsi="Arial" w:cs="Arial"/>
          <w:b/>
          <w:bCs/>
        </w:rPr>
        <w:fldChar w:fldCharType="separate"/>
      </w:r>
      <w:r w:rsidRPr="00547C26">
        <w:rPr>
          <w:rFonts w:ascii="Arial" w:hAnsi="Arial" w:cs="Arial"/>
          <w:b/>
          <w:bCs/>
          <w:noProof/>
        </w:rPr>
        <w:t>1</w:t>
      </w:r>
      <w:r w:rsidRPr="00547C26">
        <w:rPr>
          <w:rFonts w:ascii="Arial" w:hAnsi="Arial" w:cs="Arial"/>
          <w:b/>
          <w:bCs/>
        </w:rPr>
        <w:fldChar w:fldCharType="end"/>
      </w:r>
      <w:bookmarkEnd w:id="5"/>
      <w:r w:rsidRPr="00547C26">
        <w:rPr>
          <w:rFonts w:ascii="Arial" w:hAnsi="Arial" w:cs="Arial"/>
        </w:rPr>
        <w:t xml:space="preserve">: </w:t>
      </w:r>
      <w:r w:rsidRPr="00547C26">
        <w:rPr>
          <w:rFonts w:ascii="Arial" w:eastAsia="MS Mincho" w:hAnsi="Arial" w:cs="Arial"/>
          <w:bCs/>
        </w:rPr>
        <w:t>ΔR</w:t>
      </w:r>
      <w:r w:rsidRPr="00547C26">
        <w:rPr>
          <w:rFonts w:ascii="Arial" w:eastAsia="MS Mincho" w:hAnsi="Arial" w:cs="Arial"/>
          <w:bCs/>
          <w:vertAlign w:val="subscript"/>
        </w:rPr>
        <w:t xml:space="preserve">IBNC, </w:t>
      </w:r>
      <w:r w:rsidRPr="00547C26">
        <w:rPr>
          <w:rFonts w:ascii="Arial" w:eastAsia="MS Mincho" w:hAnsi="Arial" w:cs="Arial"/>
          <w:bCs/>
        </w:rPr>
        <w:t>ΔR</w:t>
      </w:r>
      <w:r w:rsidRPr="00547C26">
        <w:rPr>
          <w:rFonts w:ascii="Arial" w:eastAsia="MS Mincho" w:hAnsi="Arial" w:cs="Arial"/>
          <w:bCs/>
          <w:vertAlign w:val="subscript"/>
        </w:rPr>
        <w:t xml:space="preserve">IBC </w:t>
      </w:r>
      <w:r w:rsidRPr="00547C26">
        <w:rPr>
          <w:rFonts w:ascii="Arial" w:hAnsi="Arial" w:cs="Arial"/>
        </w:rPr>
        <w:t>definition – Clause 3.2</w:t>
      </w:r>
    </w:p>
    <w:p w14:paraId="32272F25" w14:textId="77777777" w:rsidR="00B36D98" w:rsidRPr="00547C26" w:rsidRDefault="00B36D98" w:rsidP="00B36D98">
      <w:pPr>
        <w:spacing w:after="0"/>
        <w:jc w:val="center"/>
        <w:rPr>
          <w:rFonts w:ascii="Arial" w:hAnsi="Arial" w:cs="Arial"/>
        </w:rPr>
      </w:pPr>
    </w:p>
    <w:bookmarkEnd w:id="3"/>
    <w:p w14:paraId="7AE06D67" w14:textId="7546FDE1" w:rsidR="00771F2B" w:rsidRPr="00547C26" w:rsidRDefault="00545579" w:rsidP="001F2DFD">
      <w:pPr>
        <w:pStyle w:val="EX"/>
        <w:keepLines w:val="0"/>
        <w:numPr>
          <w:ilvl w:val="0"/>
          <w:numId w:val="0"/>
        </w:numPr>
        <w:tabs>
          <w:tab w:val="clear" w:pos="369"/>
        </w:tabs>
        <w:spacing w:after="120"/>
        <w:jc w:val="both"/>
        <w:rPr>
          <w:rFonts w:ascii="Arial" w:hAnsi="Arial" w:cs="Arial"/>
        </w:rPr>
      </w:pPr>
      <w:r w:rsidRPr="00547C26">
        <w:rPr>
          <w:rFonts w:ascii="Arial" w:hAnsi="Arial" w:cs="Arial"/>
          <w:bCs/>
        </w:rPr>
        <w:t xml:space="preserve">These parameters were defined at a stage where FDD bands supported only PC3. With the introduction of PC2 and in anticipation of future HPUE power classes, it is necessary to clarify to which REFSENS level </w:t>
      </w:r>
      <w:r w:rsidR="00615627" w:rsidRPr="00547C26">
        <w:rPr>
          <w:rFonts w:ascii="Arial" w:hAnsi="Arial" w:cs="Arial"/>
          <w:bCs/>
        </w:rPr>
        <w:t xml:space="preserve">the relaxation </w:t>
      </w:r>
      <w:r w:rsidRPr="00547C26">
        <w:rPr>
          <w:rFonts w:ascii="Arial" w:eastAsia="MS Mincho" w:hAnsi="Arial" w:cs="Arial"/>
          <w:bCs/>
        </w:rPr>
        <w:t>ΔR</w:t>
      </w:r>
      <w:r w:rsidRPr="00547C26">
        <w:rPr>
          <w:rFonts w:ascii="Arial" w:eastAsia="MS Mincho" w:hAnsi="Arial" w:cs="Arial"/>
          <w:bCs/>
          <w:vertAlign w:val="subscript"/>
        </w:rPr>
        <w:t>IBNC</w:t>
      </w:r>
      <w:r w:rsidRPr="00547C26">
        <w:rPr>
          <w:rFonts w:ascii="Arial" w:eastAsia="MS Mincho" w:hAnsi="Arial" w:cs="Arial"/>
          <w:b/>
        </w:rPr>
        <w:t>,</w:t>
      </w:r>
      <w:r w:rsidRPr="00547C26">
        <w:rPr>
          <w:rFonts w:ascii="Arial" w:eastAsia="MS Mincho" w:hAnsi="Arial" w:cs="Arial"/>
          <w:b/>
          <w:vertAlign w:val="subscript"/>
        </w:rPr>
        <w:t xml:space="preserve"> </w:t>
      </w:r>
      <w:r w:rsidRPr="00547C26">
        <w:rPr>
          <w:rFonts w:ascii="Arial" w:eastAsia="MS Mincho" w:hAnsi="Arial" w:cs="Arial"/>
          <w:bCs/>
        </w:rPr>
        <w:t>ΔR</w:t>
      </w:r>
      <w:r w:rsidRPr="00547C26">
        <w:rPr>
          <w:rFonts w:ascii="Arial" w:eastAsia="MS Mincho" w:hAnsi="Arial" w:cs="Arial"/>
          <w:bCs/>
          <w:vertAlign w:val="subscript"/>
        </w:rPr>
        <w:t>IBC</w:t>
      </w:r>
      <w:r w:rsidRPr="00547C26">
        <w:rPr>
          <w:rFonts w:ascii="Arial" w:eastAsia="MS Mincho" w:hAnsi="Arial" w:cs="Arial"/>
          <w:bCs/>
          <w:sz w:val="32"/>
          <w:szCs w:val="32"/>
          <w:vertAlign w:val="subscript"/>
        </w:rPr>
        <w:t xml:space="preserve"> </w:t>
      </w:r>
      <w:r w:rsidRPr="00547C26">
        <w:rPr>
          <w:rFonts w:ascii="Arial" w:hAnsi="Arial" w:cs="Arial"/>
        </w:rPr>
        <w:t xml:space="preserve">refer to. </w:t>
      </w:r>
      <w:r w:rsidR="00430C62">
        <w:rPr>
          <w:rFonts w:ascii="Arial" w:hAnsi="Arial" w:cs="Arial"/>
        </w:rPr>
        <w:t xml:space="preserve">This WF </w:t>
      </w:r>
      <w:r w:rsidRPr="00547C26">
        <w:rPr>
          <w:rFonts w:ascii="Arial" w:hAnsi="Arial" w:cs="Arial"/>
        </w:rPr>
        <w:t>clarif</w:t>
      </w:r>
      <w:r w:rsidR="00430C62">
        <w:rPr>
          <w:rFonts w:ascii="Arial" w:hAnsi="Arial" w:cs="Arial"/>
        </w:rPr>
        <w:t>ies that</w:t>
      </w:r>
      <w:r w:rsidRPr="00547C26">
        <w:rPr>
          <w:rFonts w:ascii="Arial" w:hAnsi="Arial" w:cs="Arial"/>
        </w:rPr>
        <w:t xml:space="preserve"> the PC2 </w:t>
      </w:r>
      <w:r w:rsidR="00430C62">
        <w:rPr>
          <w:rFonts w:ascii="Arial" w:hAnsi="Arial" w:cs="Arial"/>
        </w:rPr>
        <w:t>relaxation</w:t>
      </w:r>
      <w:r w:rsidRPr="00547C26">
        <w:rPr>
          <w:rFonts w:ascii="Arial" w:hAnsi="Arial" w:cs="Arial"/>
        </w:rPr>
        <w:t xml:space="preserve"> is specified </w:t>
      </w:r>
      <w:r w:rsidR="00430C62">
        <w:rPr>
          <w:rFonts w:ascii="Arial" w:hAnsi="Arial" w:cs="Arial"/>
        </w:rPr>
        <w:t>relative to</w:t>
      </w:r>
      <w:r w:rsidRPr="00547C26">
        <w:rPr>
          <w:rFonts w:ascii="Arial" w:hAnsi="Arial" w:cs="Arial"/>
        </w:rPr>
        <w:t xml:space="preserve"> the PC3 REFSENS level</w:t>
      </w:r>
      <w:r w:rsidR="00615627" w:rsidRPr="00547C26">
        <w:rPr>
          <w:rFonts w:ascii="Arial" w:hAnsi="Arial" w:cs="Arial"/>
        </w:rPr>
        <w:t>.</w:t>
      </w:r>
    </w:p>
    <w:p w14:paraId="03F46E93" w14:textId="63E36DEA" w:rsidR="00545579" w:rsidRPr="00547C26" w:rsidRDefault="00545579" w:rsidP="001F2DFD">
      <w:pPr>
        <w:pStyle w:val="Heading2"/>
        <w:spacing w:after="120"/>
        <w:rPr>
          <w:rFonts w:eastAsia="MS Mincho" w:cs="Arial"/>
          <w:bCs/>
          <w:vertAlign w:val="subscript"/>
        </w:rPr>
      </w:pPr>
      <w:r w:rsidRPr="00547C26">
        <w:rPr>
          <w:rFonts w:cs="Arial"/>
        </w:rPr>
        <w:t>2.2</w:t>
      </w:r>
      <w:r w:rsidRPr="00547C26">
        <w:rPr>
          <w:rFonts w:cs="Arial"/>
        </w:rPr>
        <w:tab/>
        <w:t xml:space="preserve">Way </w:t>
      </w:r>
      <w:r w:rsidR="001F2DFD">
        <w:rPr>
          <w:rFonts w:cs="Arial"/>
        </w:rPr>
        <w:t>F</w:t>
      </w:r>
      <w:r w:rsidR="001F2DFD" w:rsidRPr="00547C26">
        <w:rPr>
          <w:rFonts w:cs="Arial"/>
        </w:rPr>
        <w:t xml:space="preserve">orward </w:t>
      </w:r>
      <w:r w:rsidRPr="00547C26">
        <w:rPr>
          <w:rFonts w:cs="Arial"/>
        </w:rPr>
        <w:t xml:space="preserve">on </w:t>
      </w:r>
      <w:r w:rsidRPr="00547C26">
        <w:rPr>
          <w:rFonts w:eastAsia="MS Mincho" w:cs="Arial"/>
          <w:bCs/>
        </w:rPr>
        <w:t>Δ</w:t>
      </w:r>
      <w:proofErr w:type="gramStart"/>
      <w:r w:rsidRPr="00547C26">
        <w:rPr>
          <w:rFonts w:eastAsia="MS Mincho" w:cs="Arial"/>
          <w:bCs/>
        </w:rPr>
        <w:t>R</w:t>
      </w:r>
      <w:r w:rsidRPr="00547C26">
        <w:rPr>
          <w:rFonts w:eastAsia="MS Mincho" w:cs="Arial"/>
          <w:bCs/>
          <w:vertAlign w:val="subscript"/>
        </w:rPr>
        <w:t>IBNC</w:t>
      </w:r>
      <w:r w:rsidRPr="00547C26">
        <w:rPr>
          <w:rFonts w:eastAsia="MS Mincho" w:cs="Arial"/>
          <w:b/>
        </w:rPr>
        <w:t>,</w:t>
      </w:r>
      <w:r w:rsidRPr="00547C26">
        <w:rPr>
          <w:rFonts w:eastAsia="MS Mincho" w:cs="Arial"/>
          <w:b/>
          <w:vertAlign w:val="subscript"/>
        </w:rPr>
        <w:t xml:space="preserve">  </w:t>
      </w:r>
      <w:r w:rsidRPr="00547C26">
        <w:rPr>
          <w:rFonts w:eastAsia="MS Mincho" w:cs="Arial"/>
          <w:bCs/>
        </w:rPr>
        <w:t>Δ</w:t>
      </w:r>
      <w:proofErr w:type="gramEnd"/>
      <w:r w:rsidRPr="00547C26">
        <w:rPr>
          <w:rFonts w:eastAsia="MS Mincho" w:cs="Arial"/>
          <w:bCs/>
        </w:rPr>
        <w:t>R</w:t>
      </w:r>
      <w:r w:rsidRPr="00547C26">
        <w:rPr>
          <w:rFonts w:eastAsia="MS Mincho" w:cs="Arial"/>
          <w:bCs/>
          <w:vertAlign w:val="subscript"/>
        </w:rPr>
        <w:t>IBC</w:t>
      </w:r>
    </w:p>
    <w:p w14:paraId="0D55F159" w14:textId="26FC953B" w:rsidR="00384DCA" w:rsidRDefault="002C3F79" w:rsidP="00615627">
      <w:pPr>
        <w:rPr>
          <w:rFonts w:ascii="Arial" w:hAnsi="Arial" w:cs="Arial"/>
          <w:b/>
          <w:bCs/>
        </w:rPr>
      </w:pPr>
      <w:r>
        <w:rPr>
          <w:rFonts w:ascii="Arial" w:hAnsi="Arial" w:cs="Arial"/>
          <w:b/>
          <w:bCs/>
          <w:highlight w:val="green"/>
        </w:rPr>
        <w:t>WF1</w:t>
      </w:r>
      <w:r w:rsidR="00384DCA" w:rsidRPr="00384DCA">
        <w:rPr>
          <w:rFonts w:ascii="Arial" w:hAnsi="Arial" w:cs="Arial"/>
          <w:b/>
          <w:bCs/>
          <w:highlight w:val="green"/>
        </w:rPr>
        <w:t xml:space="preserve"> on Δ</w:t>
      </w:r>
      <w:proofErr w:type="gramStart"/>
      <w:r w:rsidR="00384DCA" w:rsidRPr="00384DCA">
        <w:rPr>
          <w:rFonts w:ascii="Arial" w:hAnsi="Arial" w:cs="Arial"/>
          <w:b/>
          <w:bCs/>
          <w:highlight w:val="green"/>
        </w:rPr>
        <w:t>R</w:t>
      </w:r>
      <w:r w:rsidR="00384DCA" w:rsidRPr="00384DCA">
        <w:rPr>
          <w:rFonts w:ascii="Arial" w:hAnsi="Arial" w:cs="Arial"/>
          <w:b/>
          <w:bCs/>
          <w:highlight w:val="green"/>
          <w:vertAlign w:val="subscript"/>
        </w:rPr>
        <w:t>IBNC</w:t>
      </w:r>
      <w:r w:rsidR="00384DCA" w:rsidRPr="00384DCA">
        <w:rPr>
          <w:rFonts w:ascii="Arial" w:hAnsi="Arial" w:cs="Arial"/>
          <w:b/>
          <w:bCs/>
          <w:highlight w:val="green"/>
        </w:rPr>
        <w:t>,  Δ</w:t>
      </w:r>
      <w:proofErr w:type="gramEnd"/>
      <w:r w:rsidR="00384DCA" w:rsidRPr="00384DCA">
        <w:rPr>
          <w:rFonts w:ascii="Arial" w:hAnsi="Arial" w:cs="Arial"/>
          <w:b/>
          <w:bCs/>
          <w:highlight w:val="green"/>
        </w:rPr>
        <w:t>R</w:t>
      </w:r>
      <w:r w:rsidR="00384DCA" w:rsidRPr="00384DCA">
        <w:rPr>
          <w:rFonts w:ascii="Arial" w:hAnsi="Arial" w:cs="Arial"/>
          <w:b/>
          <w:bCs/>
          <w:highlight w:val="green"/>
          <w:vertAlign w:val="subscript"/>
        </w:rPr>
        <w:t>IBC</w:t>
      </w:r>
      <w:r w:rsidR="00384DCA">
        <w:rPr>
          <w:rFonts w:ascii="Arial" w:hAnsi="Arial" w:cs="Arial"/>
          <w:b/>
          <w:bCs/>
          <w:vertAlign w:val="subscript"/>
        </w:rPr>
        <w:t>:</w:t>
      </w:r>
      <w:r w:rsidR="00384DCA">
        <w:rPr>
          <w:rFonts w:ascii="Arial" w:hAnsi="Arial" w:cs="Arial"/>
          <w:b/>
          <w:bCs/>
        </w:rPr>
        <w:t xml:space="preserve"> </w:t>
      </w:r>
      <w:r w:rsidR="003E0B92">
        <w:rPr>
          <w:rFonts w:ascii="Arial" w:hAnsi="Arial" w:cs="Arial"/>
          <w:b/>
          <w:bCs/>
        </w:rPr>
        <w:t>Adopt the changes highlighted in green below.</w:t>
      </w:r>
    </w:p>
    <w:p w14:paraId="41D5EA69" w14:textId="277081EE" w:rsidR="00545579" w:rsidRPr="00547C26" w:rsidRDefault="00615627" w:rsidP="00615627">
      <w:pPr>
        <w:rPr>
          <w:rFonts w:ascii="Arial" w:hAnsi="Arial" w:cs="Arial"/>
          <w:b/>
          <w:bCs/>
        </w:rPr>
      </w:pPr>
      <w:r w:rsidRPr="00547C26">
        <w:rPr>
          <w:rFonts w:ascii="Arial" w:hAnsi="Arial" w:cs="Arial"/>
          <w:b/>
          <w:bCs/>
        </w:rPr>
        <w:t>In Clause 3.2,</w:t>
      </w:r>
    </w:p>
    <w:p w14:paraId="6B2F98B9" w14:textId="7740D34B" w:rsidR="00615627" w:rsidRPr="00547C26" w:rsidRDefault="00615627" w:rsidP="00615627">
      <w:pPr>
        <w:overflowPunct w:val="0"/>
        <w:autoSpaceDE w:val="0"/>
        <w:autoSpaceDN w:val="0"/>
        <w:adjustRightInd w:val="0"/>
        <w:spacing w:after="60"/>
        <w:ind w:left="840" w:hanging="840"/>
        <w:jc w:val="both"/>
        <w:textAlignment w:val="baseline"/>
        <w:rPr>
          <w:rFonts w:ascii="Arial" w:eastAsia="MS Mincho" w:hAnsi="Arial" w:cs="Arial"/>
          <w:lang w:eastAsia="en-GB"/>
        </w:rPr>
      </w:pPr>
      <w:r w:rsidRPr="00615627">
        <w:rPr>
          <w:rFonts w:ascii="Arial" w:eastAsia="MS Mincho" w:hAnsi="Arial" w:cs="Arial"/>
          <w:color w:val="0070C0"/>
          <w:sz w:val="18"/>
        </w:rPr>
        <w:t>ΔR</w:t>
      </w:r>
      <w:r w:rsidRPr="00615627">
        <w:rPr>
          <w:rFonts w:ascii="Arial" w:eastAsia="MS Mincho" w:hAnsi="Arial" w:cs="Arial"/>
          <w:color w:val="0070C0"/>
          <w:sz w:val="18"/>
          <w:vertAlign w:val="subscript"/>
        </w:rPr>
        <w:t>IBC</w:t>
      </w:r>
      <w:r w:rsidRPr="00615627">
        <w:rPr>
          <w:rFonts w:ascii="Arial" w:eastAsia="MS Mincho" w:hAnsi="Arial" w:cs="Arial"/>
          <w:color w:val="0070C0"/>
          <w:sz w:val="13"/>
          <w:szCs w:val="13"/>
          <w:lang w:eastAsia="en-GB"/>
        </w:rPr>
        <w:t xml:space="preserve"> </w:t>
      </w:r>
      <w:r w:rsidRPr="00615627">
        <w:rPr>
          <w:rFonts w:ascii="Arial" w:eastAsia="MS Mincho" w:hAnsi="Arial" w:cs="Arial"/>
          <w:color w:val="0070C0"/>
          <w:sz w:val="13"/>
          <w:szCs w:val="13"/>
          <w:lang w:eastAsia="en-GB"/>
        </w:rPr>
        <w:tab/>
      </w:r>
      <w:r w:rsidRPr="00615627">
        <w:rPr>
          <w:rFonts w:ascii="Arial" w:eastAsia="MS Mincho" w:hAnsi="Arial" w:cs="Arial"/>
          <w:color w:val="0070C0"/>
          <w:lang w:eastAsia="en-GB"/>
        </w:rPr>
        <w:t xml:space="preserve">Allowed </w:t>
      </w:r>
      <w:r w:rsidRPr="00615627">
        <w:rPr>
          <w:rFonts w:ascii="Arial" w:eastAsia="MS Mincho" w:hAnsi="Arial" w:cs="Arial"/>
          <w:color w:val="0070C0"/>
          <w:highlight w:val="green"/>
          <w:lang w:eastAsia="en-GB"/>
        </w:rPr>
        <w:t>relaxation to the power class</w:t>
      </w:r>
      <w:r w:rsidRPr="00F62FE7">
        <w:rPr>
          <w:rFonts w:ascii="Arial" w:eastAsia="MS Mincho" w:hAnsi="Arial" w:cs="Arial"/>
          <w:color w:val="0070C0"/>
          <w:highlight w:val="green"/>
          <w:lang w:eastAsia="en-GB"/>
        </w:rPr>
        <w:t xml:space="preserve"> 3</w:t>
      </w:r>
      <w:r w:rsidRPr="00615627">
        <w:rPr>
          <w:rFonts w:ascii="Arial" w:eastAsia="MS Mincho" w:hAnsi="Arial" w:cs="Arial"/>
          <w:color w:val="0070C0"/>
          <w:highlight w:val="green"/>
          <w:lang w:eastAsia="en-GB"/>
        </w:rPr>
        <w:t xml:space="preserve"> reference sensitivity</w:t>
      </w:r>
      <w:r w:rsidRPr="00F62FE7">
        <w:rPr>
          <w:rFonts w:ascii="Arial" w:eastAsia="MS Mincho" w:hAnsi="Arial" w:cs="Arial"/>
          <w:color w:val="0070C0"/>
          <w:highlight w:val="green"/>
          <w:lang w:eastAsia="en-GB"/>
        </w:rPr>
        <w:t xml:space="preserve"> level</w:t>
      </w:r>
      <w:r w:rsidRPr="00547C26">
        <w:rPr>
          <w:rFonts w:ascii="Arial" w:eastAsia="MS Mincho" w:hAnsi="Arial" w:cs="Arial"/>
          <w:color w:val="0070C0"/>
          <w:lang w:eastAsia="en-GB"/>
        </w:rPr>
        <w:t xml:space="preserve"> </w:t>
      </w:r>
      <w:r w:rsidRPr="00615627">
        <w:rPr>
          <w:rFonts w:ascii="Arial" w:eastAsia="MS Mincho" w:hAnsi="Arial" w:cs="Arial"/>
          <w:color w:val="0070C0"/>
          <w:lang w:eastAsia="en-GB"/>
        </w:rPr>
        <w:t>due to support for intra-band contiguous CA operation</w:t>
      </w:r>
      <w:r w:rsidRPr="00615627">
        <w:rPr>
          <w:rFonts w:ascii="Arial" w:eastAsia="MS Mincho" w:hAnsi="Arial" w:cs="Arial"/>
          <w:lang w:eastAsia="en-GB"/>
        </w:rPr>
        <w:t>.</w:t>
      </w:r>
    </w:p>
    <w:p w14:paraId="6CB27545" w14:textId="7CBB098E" w:rsidR="00615627" w:rsidRPr="00547C26" w:rsidRDefault="00615627" w:rsidP="001F2DFD">
      <w:pPr>
        <w:overflowPunct w:val="0"/>
        <w:autoSpaceDE w:val="0"/>
        <w:autoSpaceDN w:val="0"/>
        <w:adjustRightInd w:val="0"/>
        <w:spacing w:after="120"/>
        <w:ind w:left="840" w:hanging="840"/>
        <w:textAlignment w:val="baseline"/>
        <w:rPr>
          <w:rFonts w:ascii="Arial" w:eastAsia="MS Mincho" w:hAnsi="Arial" w:cs="Arial"/>
          <w:lang w:eastAsia="en-GB"/>
        </w:rPr>
      </w:pPr>
      <w:r w:rsidRPr="00615627">
        <w:rPr>
          <w:rFonts w:ascii="Arial" w:eastAsia="MS Mincho" w:hAnsi="Arial" w:cs="Arial"/>
          <w:color w:val="0070C0"/>
          <w:sz w:val="18"/>
        </w:rPr>
        <w:t>ΔR</w:t>
      </w:r>
      <w:r w:rsidRPr="00615627">
        <w:rPr>
          <w:rFonts w:ascii="Arial" w:eastAsia="MS Mincho" w:hAnsi="Arial" w:cs="Arial"/>
          <w:color w:val="0070C0"/>
          <w:sz w:val="18"/>
          <w:vertAlign w:val="subscript"/>
        </w:rPr>
        <w:t>IBNC</w:t>
      </w:r>
      <w:r w:rsidRPr="00615627">
        <w:rPr>
          <w:rFonts w:ascii="Arial" w:eastAsia="MS Mincho" w:hAnsi="Arial" w:cs="Arial"/>
          <w:color w:val="0070C0"/>
          <w:sz w:val="13"/>
          <w:szCs w:val="13"/>
          <w:lang w:eastAsia="en-GB"/>
        </w:rPr>
        <w:t xml:space="preserve"> </w:t>
      </w:r>
      <w:r w:rsidRPr="00615627">
        <w:rPr>
          <w:rFonts w:ascii="Arial" w:eastAsia="MS Mincho" w:hAnsi="Arial" w:cs="Arial"/>
          <w:color w:val="0070C0"/>
          <w:sz w:val="13"/>
          <w:szCs w:val="13"/>
          <w:lang w:eastAsia="en-GB"/>
        </w:rPr>
        <w:tab/>
      </w:r>
      <w:r w:rsidRPr="00615627">
        <w:rPr>
          <w:rFonts w:ascii="Arial" w:eastAsia="MS Mincho" w:hAnsi="Arial" w:cs="Arial"/>
          <w:color w:val="0070C0"/>
          <w:lang w:eastAsia="en-GB"/>
        </w:rPr>
        <w:t xml:space="preserve">Allowed </w:t>
      </w:r>
      <w:r w:rsidRPr="00615627">
        <w:rPr>
          <w:rFonts w:ascii="Arial" w:eastAsia="MS Mincho" w:hAnsi="Arial" w:cs="Arial"/>
          <w:color w:val="0070C0"/>
          <w:highlight w:val="green"/>
          <w:lang w:eastAsia="en-GB"/>
        </w:rPr>
        <w:t>relaxation to the power class</w:t>
      </w:r>
      <w:r w:rsidRPr="00F62FE7">
        <w:rPr>
          <w:rFonts w:ascii="Arial" w:eastAsia="MS Mincho" w:hAnsi="Arial" w:cs="Arial"/>
          <w:color w:val="0070C0"/>
          <w:highlight w:val="green"/>
          <w:lang w:eastAsia="en-GB"/>
        </w:rPr>
        <w:t xml:space="preserve"> 3</w:t>
      </w:r>
      <w:r w:rsidRPr="00615627">
        <w:rPr>
          <w:rFonts w:ascii="Arial" w:eastAsia="MS Mincho" w:hAnsi="Arial" w:cs="Arial"/>
          <w:color w:val="0070C0"/>
          <w:highlight w:val="green"/>
          <w:lang w:eastAsia="en-GB"/>
        </w:rPr>
        <w:t xml:space="preserve"> reference sensitivity</w:t>
      </w:r>
      <w:r w:rsidRPr="00F62FE7">
        <w:rPr>
          <w:rFonts w:ascii="Arial" w:eastAsia="MS Mincho" w:hAnsi="Arial" w:cs="Arial"/>
          <w:color w:val="0070C0"/>
          <w:highlight w:val="green"/>
          <w:lang w:eastAsia="en-GB"/>
        </w:rPr>
        <w:t xml:space="preserve"> level</w:t>
      </w:r>
      <w:r w:rsidRPr="00615627">
        <w:rPr>
          <w:rFonts w:ascii="Arial" w:eastAsia="MS Mincho" w:hAnsi="Arial" w:cs="Arial"/>
          <w:color w:val="0070C0"/>
          <w:lang w:eastAsia="en-GB"/>
        </w:rPr>
        <w:t xml:space="preserve"> due to support for intra-band non-contiguous CA operation</w:t>
      </w:r>
      <w:r w:rsidRPr="00615627">
        <w:rPr>
          <w:rFonts w:ascii="Arial" w:eastAsia="MS Mincho" w:hAnsi="Arial" w:cs="Arial"/>
          <w:lang w:eastAsia="en-GB"/>
        </w:rPr>
        <w:t>.</w:t>
      </w:r>
    </w:p>
    <w:p w14:paraId="0272D36C" w14:textId="0D8B0AEE" w:rsidR="006531E9" w:rsidRPr="00547C26" w:rsidRDefault="006531E9" w:rsidP="001F2DFD">
      <w:pPr>
        <w:spacing w:after="120"/>
        <w:rPr>
          <w:rFonts w:ascii="Arial" w:hAnsi="Arial" w:cs="Arial"/>
          <w:b/>
          <w:bCs/>
        </w:rPr>
      </w:pPr>
      <w:r w:rsidRPr="001548CC">
        <w:rPr>
          <w:rFonts w:ascii="Arial" w:eastAsia="MS Mincho" w:hAnsi="Arial" w:cs="Arial"/>
          <w:b/>
          <w:bCs/>
          <w:lang w:eastAsia="en-GB"/>
        </w:rPr>
        <w:t xml:space="preserve">In Clause </w:t>
      </w:r>
      <w:r w:rsidRPr="001548CC">
        <w:rPr>
          <w:rFonts w:ascii="Arial" w:hAnsi="Arial" w:cs="Arial"/>
          <w:b/>
          <w:bCs/>
        </w:rPr>
        <w:t>7.3A.2.1</w:t>
      </w:r>
      <w:r w:rsidR="00547C26" w:rsidRPr="001548CC">
        <w:rPr>
          <w:rFonts w:ascii="Arial" w:hAnsi="Arial" w:cs="Arial"/>
          <w:b/>
          <w:bCs/>
        </w:rPr>
        <w:t xml:space="preserve"> </w:t>
      </w:r>
      <w:r w:rsidR="001548CC">
        <w:rPr>
          <w:rFonts w:ascii="Arial" w:hAnsi="Arial" w:cs="Arial"/>
          <w:b/>
          <w:bCs/>
        </w:rPr>
        <w:t>(</w:t>
      </w:r>
      <w:r w:rsidR="001548CC" w:rsidRPr="001548CC">
        <w:rPr>
          <w:rFonts w:ascii="Arial" w:hAnsi="Arial" w:cs="Arial"/>
          <w:b/>
          <w:bCs/>
        </w:rPr>
        <w:t>Reference sensitivity power level for Intra-band contiguous CA</w:t>
      </w:r>
      <w:r w:rsidR="001548CC">
        <w:rPr>
          <w:rFonts w:ascii="Arial" w:hAnsi="Arial" w:cs="Arial"/>
          <w:b/>
          <w:bCs/>
        </w:rPr>
        <w:t>)</w:t>
      </w:r>
      <w:r w:rsidRPr="00547C26">
        <w:rPr>
          <w:rFonts w:ascii="Arial" w:hAnsi="Arial" w:cs="Arial"/>
          <w:b/>
          <w:bCs/>
          <w:sz w:val="23"/>
          <w:szCs w:val="23"/>
        </w:rPr>
        <w:t>,</w:t>
      </w:r>
    </w:p>
    <w:p w14:paraId="6992BAAE" w14:textId="7C6FB984" w:rsidR="006531E9" w:rsidRPr="00615627" w:rsidRDefault="006531E9" w:rsidP="001F2DFD">
      <w:pPr>
        <w:overflowPunct w:val="0"/>
        <w:autoSpaceDE w:val="0"/>
        <w:autoSpaceDN w:val="0"/>
        <w:adjustRightInd w:val="0"/>
        <w:spacing w:after="120"/>
        <w:textAlignment w:val="baseline"/>
        <w:rPr>
          <w:rFonts w:ascii="Arial" w:eastAsia="MS Mincho" w:hAnsi="Arial" w:cs="Arial"/>
          <w:lang w:eastAsia="en-GB"/>
        </w:rPr>
      </w:pPr>
      <w:r w:rsidRPr="00547C26">
        <w:rPr>
          <w:rFonts w:ascii="Arial" w:hAnsi="Arial" w:cs="Arial"/>
          <w:color w:val="0070C0"/>
        </w:rPr>
        <w:t xml:space="preserve">For aggregation of two or more downlink FDD carriers with two uplink carriers, the reference sensitivity is defined only for the specific uplink and downlink test points which are specified in Table 7.3A.2.1-1 and the </w:t>
      </w:r>
      <w:r w:rsidR="00547C26" w:rsidRPr="00F62FE7">
        <w:rPr>
          <w:rFonts w:ascii="Arial" w:hAnsi="Arial" w:cs="Arial"/>
          <w:color w:val="0070C0"/>
          <w:highlight w:val="green"/>
        </w:rPr>
        <w:t>power class 3</w:t>
      </w:r>
      <w:r w:rsidR="00547C26" w:rsidRPr="00547C26">
        <w:rPr>
          <w:rFonts w:ascii="Arial" w:hAnsi="Arial" w:cs="Arial"/>
          <w:color w:val="0070C0"/>
        </w:rPr>
        <w:t xml:space="preserve"> </w:t>
      </w:r>
      <w:r w:rsidRPr="00547C26">
        <w:rPr>
          <w:rFonts w:ascii="Arial" w:hAnsi="Arial" w:cs="Arial"/>
          <w:color w:val="0070C0"/>
        </w:rPr>
        <w:t xml:space="preserve">reference sensitivity power level increased by ΔRIBC. </w:t>
      </w:r>
    </w:p>
    <w:p w14:paraId="56E73BD1" w14:textId="7532C793" w:rsidR="001548CC" w:rsidRDefault="001548CC" w:rsidP="001F2DFD">
      <w:pPr>
        <w:spacing w:after="120"/>
        <w:rPr>
          <w:rFonts w:ascii="Arial" w:hAnsi="Arial" w:cs="Arial"/>
          <w:b/>
          <w:bCs/>
        </w:rPr>
      </w:pPr>
      <w:r w:rsidRPr="001548CC">
        <w:rPr>
          <w:rFonts w:ascii="Arial" w:eastAsia="MS Mincho" w:hAnsi="Arial" w:cs="Arial"/>
          <w:b/>
          <w:bCs/>
          <w:lang w:eastAsia="en-GB"/>
        </w:rPr>
        <w:t xml:space="preserve">In Clause </w:t>
      </w:r>
      <w:r w:rsidRPr="001548CC">
        <w:rPr>
          <w:rFonts w:ascii="Arial" w:hAnsi="Arial" w:cs="Arial"/>
          <w:b/>
          <w:bCs/>
        </w:rPr>
        <w:t>7.3A.2.</w:t>
      </w:r>
      <w:r>
        <w:rPr>
          <w:rFonts w:ascii="Arial" w:hAnsi="Arial" w:cs="Arial"/>
          <w:b/>
          <w:bCs/>
        </w:rPr>
        <w:t>2</w:t>
      </w:r>
      <w:r w:rsidRPr="001548CC">
        <w:rPr>
          <w:rFonts w:ascii="Arial" w:hAnsi="Arial" w:cs="Arial"/>
          <w:b/>
          <w:bCs/>
        </w:rPr>
        <w:t xml:space="preserve"> </w:t>
      </w:r>
      <w:r>
        <w:rPr>
          <w:rFonts w:ascii="Arial" w:hAnsi="Arial" w:cs="Arial"/>
          <w:b/>
          <w:bCs/>
        </w:rPr>
        <w:t>(</w:t>
      </w:r>
      <w:r w:rsidRPr="001548CC">
        <w:rPr>
          <w:rFonts w:ascii="Arial" w:hAnsi="Arial" w:cs="Arial"/>
          <w:b/>
          <w:bCs/>
        </w:rPr>
        <w:t xml:space="preserve">Reference sensitivity power level for Intra-band </w:t>
      </w:r>
      <w:r>
        <w:rPr>
          <w:rFonts w:ascii="Arial" w:hAnsi="Arial" w:cs="Arial"/>
          <w:b/>
          <w:bCs/>
        </w:rPr>
        <w:t>non-</w:t>
      </w:r>
      <w:r w:rsidRPr="001548CC">
        <w:rPr>
          <w:rFonts w:ascii="Arial" w:hAnsi="Arial" w:cs="Arial"/>
          <w:b/>
          <w:bCs/>
        </w:rPr>
        <w:t>contiguous CA</w:t>
      </w:r>
      <w:r>
        <w:rPr>
          <w:rFonts w:ascii="Arial" w:hAnsi="Arial" w:cs="Arial"/>
          <w:b/>
          <w:bCs/>
        </w:rPr>
        <w:t>)</w:t>
      </w:r>
      <w:r w:rsidRPr="00547C26">
        <w:rPr>
          <w:rFonts w:ascii="Arial" w:hAnsi="Arial" w:cs="Arial"/>
          <w:b/>
          <w:bCs/>
          <w:sz w:val="23"/>
          <w:szCs w:val="23"/>
        </w:rPr>
        <w:t>,</w:t>
      </w:r>
    </w:p>
    <w:p w14:paraId="0B03A603" w14:textId="560772E1" w:rsidR="001548CC" w:rsidRDefault="001548CC" w:rsidP="001F2DFD">
      <w:pPr>
        <w:spacing w:after="120"/>
        <w:jc w:val="both"/>
        <w:rPr>
          <w:rFonts w:ascii="Arial" w:hAnsi="Arial" w:cs="Arial"/>
          <w:color w:val="0070C0"/>
        </w:rPr>
      </w:pPr>
      <w:r w:rsidRPr="001548CC">
        <w:rPr>
          <w:rFonts w:ascii="Arial" w:hAnsi="Arial" w:cs="Arial"/>
          <w:color w:val="0070C0"/>
        </w:rPr>
        <w:t xml:space="preserve">For intra-band non-contiguous carrier aggregation with one uplink carrier and two or more downlink sub-blocks, throughput of each downlink component carrier shall be ≥ 95% of the maximum throughput of the reference measurement channels as specified in Annexes A.2.2 and A.3.2 (with one sided dynamic OCNG Pattern OP.1 FDD/TDD for the DL-signal as described in Annex A.5.1.1/A.5.2.1) and parameters specified in Table 7.3.2-1a, Table 7.3.2-1b, Table 7.3.2-2, and Table 7.3A.2.2-1 with </w:t>
      </w:r>
      <w:r w:rsidRPr="00F62FE7">
        <w:rPr>
          <w:rFonts w:ascii="Arial" w:hAnsi="Arial" w:cs="Arial"/>
          <w:color w:val="0070C0"/>
          <w:highlight w:val="green"/>
        </w:rPr>
        <w:t>the power class 3</w:t>
      </w:r>
      <w:r>
        <w:rPr>
          <w:rFonts w:ascii="Arial" w:hAnsi="Arial" w:cs="Arial"/>
          <w:color w:val="0070C0"/>
        </w:rPr>
        <w:t xml:space="preserve"> </w:t>
      </w:r>
      <w:r w:rsidRPr="001548CC">
        <w:rPr>
          <w:rFonts w:ascii="Arial" w:hAnsi="Arial" w:cs="Arial"/>
          <w:color w:val="0070C0"/>
        </w:rPr>
        <w:t xml:space="preserve">reference sensitivity power level increased by ΔRIBNC given in Table 7.3A.2.2-1 for the SCC(s). </w:t>
      </w:r>
    </w:p>
    <w:p w14:paraId="7FF79304" w14:textId="196A77EF" w:rsidR="001548CC" w:rsidRPr="001548CC" w:rsidRDefault="001548CC" w:rsidP="001F2DFD">
      <w:pPr>
        <w:spacing w:after="120"/>
        <w:jc w:val="both"/>
        <w:rPr>
          <w:rFonts w:ascii="Arial" w:hAnsi="Arial" w:cs="Arial"/>
          <w:b/>
          <w:bCs/>
        </w:rPr>
      </w:pPr>
      <w:r w:rsidRPr="001548CC">
        <w:rPr>
          <w:rFonts w:ascii="Arial" w:hAnsi="Arial" w:cs="Arial"/>
        </w:rPr>
        <w:lastRenderedPageBreak/>
        <w:t>and</w:t>
      </w:r>
    </w:p>
    <w:p w14:paraId="6B8E14B0" w14:textId="2057B662" w:rsidR="001548CC" w:rsidRDefault="001548CC" w:rsidP="001F2DFD">
      <w:pPr>
        <w:spacing w:after="120"/>
        <w:jc w:val="both"/>
        <w:rPr>
          <w:rFonts w:ascii="Arial" w:hAnsi="Arial" w:cs="Arial"/>
          <w:color w:val="0070C0"/>
        </w:rPr>
      </w:pPr>
      <w:r w:rsidRPr="001548CC">
        <w:rPr>
          <w:rFonts w:ascii="Arial" w:hAnsi="Arial" w:cs="Arial"/>
          <w:color w:val="0070C0"/>
        </w:rPr>
        <w:t xml:space="preserve">For intra-band non-contiguous carrier aggregation with two uplink carriers and two or more downlink sub-blocks, throughput of each downlink component carrier shall be ≥ 95% of the maximum throughput of the reference measurement channels as specified in Annexes A.2.2 and A.3.2 (with one sided dynamic OCNG Pattern OP.1 FDD/TDD for the DL-signal as described in Annex A.5.1.1/A.5.2.1) and parameters specified in Table 7.3.2-1a, Table 7.3.2-1b, Table 7.3.2-2, and Table 7.3A.2.2-2 with </w:t>
      </w:r>
      <w:r w:rsidRPr="00F62FE7">
        <w:rPr>
          <w:rFonts w:ascii="Arial" w:hAnsi="Arial" w:cs="Arial"/>
          <w:color w:val="0070C0"/>
          <w:highlight w:val="green"/>
        </w:rPr>
        <w:t>the power class 3</w:t>
      </w:r>
      <w:r w:rsidRPr="001548CC">
        <w:rPr>
          <w:rFonts w:ascii="Arial" w:hAnsi="Arial" w:cs="Arial"/>
          <w:color w:val="0070C0"/>
        </w:rPr>
        <w:t xml:space="preserve"> reference sensitivity power level increased by ΔRIBNC given in Table 7.3A.2.2-2 for the PCC and SCC(s). </w:t>
      </w:r>
    </w:p>
    <w:p w14:paraId="7AB79883" w14:textId="77777777" w:rsidR="002A2140" w:rsidRDefault="002A2140" w:rsidP="001F2DFD">
      <w:pPr>
        <w:spacing w:after="120"/>
        <w:jc w:val="both"/>
        <w:rPr>
          <w:rFonts w:ascii="Arial" w:hAnsi="Arial" w:cs="Arial"/>
          <w:color w:val="0070C0"/>
        </w:rPr>
      </w:pPr>
    </w:p>
    <w:p w14:paraId="19A7BAD8" w14:textId="2C5B5873" w:rsidR="00D00B42" w:rsidRPr="00545579" w:rsidRDefault="00D00B42" w:rsidP="00D00B42">
      <w:pPr>
        <w:keepNext/>
        <w:keepLines/>
        <w:numPr>
          <w:ilvl w:val="0"/>
          <w:numId w:val="3"/>
        </w:numPr>
        <w:pBdr>
          <w:top w:val="single" w:sz="12" w:space="3" w:color="auto"/>
        </w:pBdr>
        <w:overflowPunct w:val="0"/>
        <w:autoSpaceDE w:val="0"/>
        <w:autoSpaceDN w:val="0"/>
        <w:adjustRightInd w:val="0"/>
        <w:spacing w:after="120"/>
        <w:ind w:left="567" w:hanging="567"/>
        <w:textAlignment w:val="baseline"/>
        <w:outlineLvl w:val="0"/>
        <w:rPr>
          <w:rFonts w:ascii="Arial" w:eastAsia="Times New Roman" w:hAnsi="Arial" w:cs="Arial"/>
          <w:sz w:val="36"/>
          <w:lang w:eastAsia="en-GB"/>
        </w:rPr>
      </w:pPr>
      <w:r w:rsidRPr="00547C26">
        <w:rPr>
          <w:rFonts w:ascii="Arial" w:eastAsia="Times New Roman" w:hAnsi="Arial" w:cs="Arial"/>
          <w:sz w:val="36"/>
          <w:lang w:eastAsia="en-GB"/>
        </w:rPr>
        <w:t xml:space="preserve">On </w:t>
      </w:r>
      <w:r>
        <w:rPr>
          <w:rFonts w:ascii="Arial" w:eastAsia="Times New Roman" w:hAnsi="Arial" w:cs="Arial"/>
          <w:sz w:val="36"/>
          <w:lang w:eastAsia="en-GB"/>
        </w:rPr>
        <w:t xml:space="preserve">REFSENS tables for PC2 </w:t>
      </w:r>
      <w:r w:rsidR="008E67A6">
        <w:rPr>
          <w:rFonts w:ascii="Arial" w:eastAsia="Times New Roman" w:hAnsi="Arial" w:cs="Arial"/>
          <w:sz w:val="36"/>
          <w:lang w:eastAsia="en-GB"/>
        </w:rPr>
        <w:t>I</w:t>
      </w:r>
      <w:r w:rsidR="00F6320E">
        <w:rPr>
          <w:rFonts w:ascii="Arial" w:eastAsia="Times New Roman" w:hAnsi="Arial" w:cs="Arial"/>
          <w:sz w:val="36"/>
          <w:lang w:eastAsia="en-GB"/>
        </w:rPr>
        <w:t>ntra-</w:t>
      </w:r>
      <w:r w:rsidR="008E67A6">
        <w:rPr>
          <w:rFonts w:ascii="Arial" w:eastAsia="Times New Roman" w:hAnsi="Arial" w:cs="Arial"/>
          <w:sz w:val="36"/>
          <w:lang w:eastAsia="en-GB"/>
        </w:rPr>
        <w:t>B</w:t>
      </w:r>
      <w:r w:rsidR="00F6320E">
        <w:rPr>
          <w:rFonts w:ascii="Arial" w:eastAsia="Times New Roman" w:hAnsi="Arial" w:cs="Arial"/>
          <w:sz w:val="36"/>
          <w:lang w:eastAsia="en-GB"/>
        </w:rPr>
        <w:t xml:space="preserve">and </w:t>
      </w:r>
      <w:r>
        <w:rPr>
          <w:rFonts w:ascii="Arial" w:eastAsia="Times New Roman" w:hAnsi="Arial" w:cs="Arial"/>
          <w:sz w:val="36"/>
          <w:lang w:eastAsia="en-GB"/>
        </w:rPr>
        <w:t>REFSENS</w:t>
      </w:r>
    </w:p>
    <w:p w14:paraId="52B7BC5F" w14:textId="31A04616" w:rsidR="00D00B42" w:rsidRPr="00547C26" w:rsidRDefault="002E41CA" w:rsidP="00D00B42">
      <w:pPr>
        <w:pStyle w:val="Heading1"/>
        <w:spacing w:before="0" w:after="120"/>
        <w:rPr>
          <w:rFonts w:cs="Arial"/>
          <w:sz w:val="32"/>
          <w:szCs w:val="18"/>
        </w:rPr>
      </w:pPr>
      <w:r>
        <w:rPr>
          <w:rFonts w:cs="Arial"/>
          <w:sz w:val="32"/>
          <w:szCs w:val="18"/>
        </w:rPr>
        <w:t>3</w:t>
      </w:r>
      <w:r w:rsidR="00D00B42" w:rsidRPr="00547C26">
        <w:rPr>
          <w:rFonts w:cs="Arial"/>
          <w:sz w:val="32"/>
          <w:szCs w:val="18"/>
        </w:rPr>
        <w:t xml:space="preserve">.1 </w:t>
      </w:r>
      <w:r w:rsidR="00D00B42" w:rsidRPr="00547C26">
        <w:rPr>
          <w:rFonts w:cs="Arial"/>
          <w:sz w:val="32"/>
          <w:szCs w:val="18"/>
        </w:rPr>
        <w:tab/>
        <w:t>Background</w:t>
      </w:r>
    </w:p>
    <w:p w14:paraId="17D8A977" w14:textId="4A4D1611" w:rsidR="00F6320E" w:rsidRDefault="00FD7FAC" w:rsidP="00F6320E">
      <w:pPr>
        <w:rPr>
          <w:rFonts w:ascii="Arial" w:hAnsi="Arial" w:cs="Arial"/>
        </w:rPr>
      </w:pPr>
      <w:r>
        <w:rPr>
          <w:rFonts w:ascii="Arial" w:hAnsi="Arial" w:cs="Arial"/>
        </w:rPr>
        <w:t>New tables are needed to capture the PC2 i</w:t>
      </w:r>
      <w:r w:rsidRPr="00547C26">
        <w:rPr>
          <w:rFonts w:ascii="Arial" w:hAnsi="Arial" w:cs="Arial"/>
        </w:rPr>
        <w:t>ntra-band CA REFSENS requirements</w:t>
      </w:r>
      <w:r w:rsidR="00F6320E">
        <w:rPr>
          <w:rFonts w:ascii="Arial" w:hAnsi="Arial" w:cs="Arial"/>
        </w:rPr>
        <w:t>, and three options are considered:</w:t>
      </w:r>
    </w:p>
    <w:p w14:paraId="3ADB3C3E" w14:textId="7C4901D8" w:rsidR="00F62FE7" w:rsidRDefault="00F62FE7" w:rsidP="00F6320E">
      <w:pPr>
        <w:rPr>
          <w:rFonts w:ascii="Arial" w:hAnsi="Arial" w:cs="Arial"/>
        </w:rPr>
      </w:pPr>
      <w:r>
        <w:rPr>
          <w:rFonts w:ascii="Arial" w:hAnsi="Arial" w:cs="Arial"/>
        </w:rPr>
        <w:t xml:space="preserve">Option 1: For intra-band CA, capture REFSENS </w:t>
      </w:r>
      <w:r w:rsidR="002E41CA">
        <w:rPr>
          <w:rFonts w:ascii="Arial" w:hAnsi="Arial" w:cs="Arial"/>
        </w:rPr>
        <w:t xml:space="preserve">requirements </w:t>
      </w:r>
      <w:r>
        <w:rPr>
          <w:rFonts w:ascii="Arial" w:hAnsi="Arial" w:cs="Arial"/>
        </w:rPr>
        <w:t>using 3 tables and new suffix “</w:t>
      </w:r>
      <w:proofErr w:type="spellStart"/>
      <w:proofErr w:type="gramStart"/>
      <w:r>
        <w:rPr>
          <w:rFonts w:ascii="Arial" w:hAnsi="Arial" w:cs="Arial"/>
        </w:rPr>
        <w:t>a,b</w:t>
      </w:r>
      <w:proofErr w:type="gramEnd"/>
      <w:r>
        <w:rPr>
          <w:rFonts w:ascii="Arial" w:hAnsi="Arial" w:cs="Arial"/>
        </w:rPr>
        <w:t>,c</w:t>
      </w:r>
      <w:proofErr w:type="spellEnd"/>
      <w:r>
        <w:rPr>
          <w:rFonts w:ascii="Arial" w:hAnsi="Arial" w:cs="Arial"/>
        </w:rPr>
        <w:t>”:</w:t>
      </w:r>
    </w:p>
    <w:p w14:paraId="6662C09C" w14:textId="3C837D45" w:rsidR="00F62FE7" w:rsidRDefault="00F62FE7" w:rsidP="00F62FE7">
      <w:pPr>
        <w:pStyle w:val="ListParagraph"/>
        <w:numPr>
          <w:ilvl w:val="0"/>
          <w:numId w:val="22"/>
        </w:numPr>
        <w:rPr>
          <w:rFonts w:ascii="Arial" w:hAnsi="Arial" w:cs="Arial"/>
        </w:rPr>
      </w:pPr>
      <w:r>
        <w:rPr>
          <w:rFonts w:ascii="Arial" w:hAnsi="Arial" w:cs="Arial"/>
        </w:rPr>
        <w:t xml:space="preserve">Use suffix “a” to capture PC3 REFSENS, </w:t>
      </w:r>
      <w:r w:rsidR="0081644F">
        <w:rPr>
          <w:rFonts w:ascii="Arial" w:hAnsi="Arial" w:cs="Arial"/>
        </w:rPr>
        <w:t>e.g.</w:t>
      </w:r>
      <w:r w:rsidR="001F2DFD">
        <w:rPr>
          <w:rFonts w:ascii="Arial" w:hAnsi="Arial" w:cs="Arial"/>
        </w:rPr>
        <w:t xml:space="preserve"> Table</w:t>
      </w:r>
      <w:r w:rsidRPr="00F62FE7">
        <w:rPr>
          <w:rFonts w:ascii="Arial" w:hAnsi="Arial" w:cs="Arial"/>
        </w:rPr>
        <w:t xml:space="preserve"> 7.3A.2.1-1</w:t>
      </w:r>
      <w:r>
        <w:rPr>
          <w:rFonts w:ascii="Arial" w:hAnsi="Arial" w:cs="Arial"/>
        </w:rPr>
        <w:t xml:space="preserve">a for contiguous </w:t>
      </w:r>
      <w:proofErr w:type="gramStart"/>
      <w:r>
        <w:rPr>
          <w:rFonts w:ascii="Arial" w:hAnsi="Arial" w:cs="Arial"/>
        </w:rPr>
        <w:t>CA</w:t>
      </w:r>
      <w:proofErr w:type="gramEnd"/>
    </w:p>
    <w:p w14:paraId="4FA7003E" w14:textId="1485F422" w:rsidR="00F62FE7" w:rsidRDefault="00F62FE7" w:rsidP="00F62FE7">
      <w:pPr>
        <w:pStyle w:val="ListParagraph"/>
        <w:numPr>
          <w:ilvl w:val="0"/>
          <w:numId w:val="22"/>
        </w:numPr>
        <w:rPr>
          <w:rFonts w:ascii="Arial" w:hAnsi="Arial" w:cs="Arial"/>
        </w:rPr>
      </w:pPr>
      <w:r>
        <w:rPr>
          <w:rFonts w:ascii="Arial" w:hAnsi="Arial" w:cs="Arial"/>
        </w:rPr>
        <w:t xml:space="preserve">Use suffix “b” to capture 1Tx PC2 REFSENS, </w:t>
      </w:r>
      <w:r w:rsidR="0081644F">
        <w:rPr>
          <w:rFonts w:ascii="Arial" w:hAnsi="Arial" w:cs="Arial"/>
        </w:rPr>
        <w:t>e.g.</w:t>
      </w:r>
      <w:r>
        <w:rPr>
          <w:rFonts w:ascii="Arial" w:hAnsi="Arial" w:cs="Arial"/>
        </w:rPr>
        <w:t xml:space="preserve"> </w:t>
      </w:r>
      <w:r w:rsidRPr="00F62FE7">
        <w:rPr>
          <w:rFonts w:ascii="Arial" w:hAnsi="Arial" w:cs="Arial"/>
        </w:rPr>
        <w:t>Table 7.3A.2.1-1</w:t>
      </w:r>
      <w:r>
        <w:rPr>
          <w:rFonts w:ascii="Arial" w:hAnsi="Arial" w:cs="Arial"/>
        </w:rPr>
        <w:t xml:space="preserve">b for contiguous </w:t>
      </w:r>
      <w:proofErr w:type="gramStart"/>
      <w:r>
        <w:rPr>
          <w:rFonts w:ascii="Arial" w:hAnsi="Arial" w:cs="Arial"/>
        </w:rPr>
        <w:t>CA</w:t>
      </w:r>
      <w:proofErr w:type="gramEnd"/>
    </w:p>
    <w:p w14:paraId="34784D25" w14:textId="478961D5" w:rsidR="00F62FE7" w:rsidRDefault="00F62FE7" w:rsidP="00F62FE7">
      <w:pPr>
        <w:pStyle w:val="ListParagraph"/>
        <w:numPr>
          <w:ilvl w:val="0"/>
          <w:numId w:val="22"/>
        </w:numPr>
        <w:rPr>
          <w:rFonts w:ascii="Arial" w:hAnsi="Arial" w:cs="Arial"/>
        </w:rPr>
      </w:pPr>
      <w:r>
        <w:rPr>
          <w:rFonts w:ascii="Arial" w:hAnsi="Arial" w:cs="Arial"/>
        </w:rPr>
        <w:t xml:space="preserve">Use suffix “c” to capture </w:t>
      </w:r>
      <w:proofErr w:type="spellStart"/>
      <w:r>
        <w:rPr>
          <w:rFonts w:ascii="Arial" w:hAnsi="Arial" w:cs="Arial"/>
        </w:rPr>
        <w:t>TxD</w:t>
      </w:r>
      <w:proofErr w:type="spellEnd"/>
      <w:r>
        <w:rPr>
          <w:rFonts w:ascii="Arial" w:hAnsi="Arial" w:cs="Arial"/>
        </w:rPr>
        <w:t xml:space="preserve"> PC2 REFSENS, </w:t>
      </w:r>
      <w:r w:rsidR="0081644F">
        <w:rPr>
          <w:rFonts w:ascii="Arial" w:hAnsi="Arial" w:cs="Arial"/>
        </w:rPr>
        <w:t>e.g.</w:t>
      </w:r>
      <w:r>
        <w:rPr>
          <w:rFonts w:ascii="Arial" w:hAnsi="Arial" w:cs="Arial"/>
        </w:rPr>
        <w:t xml:space="preserve"> </w:t>
      </w:r>
      <w:r w:rsidRPr="00F62FE7">
        <w:rPr>
          <w:rFonts w:ascii="Arial" w:hAnsi="Arial" w:cs="Arial"/>
        </w:rPr>
        <w:t>Table 7.3A.2.1-1</w:t>
      </w:r>
      <w:r>
        <w:rPr>
          <w:rFonts w:ascii="Arial" w:hAnsi="Arial" w:cs="Arial"/>
        </w:rPr>
        <w:t xml:space="preserve">c for contiguous </w:t>
      </w:r>
      <w:proofErr w:type="gramStart"/>
      <w:r>
        <w:rPr>
          <w:rFonts w:ascii="Arial" w:hAnsi="Arial" w:cs="Arial"/>
        </w:rPr>
        <w:t>CA</w:t>
      </w:r>
      <w:proofErr w:type="gramEnd"/>
    </w:p>
    <w:p w14:paraId="14D30A99" w14:textId="4CBAF88D" w:rsidR="00F62FE7" w:rsidRDefault="00F62FE7" w:rsidP="00F62FE7">
      <w:pPr>
        <w:rPr>
          <w:rFonts w:ascii="Arial" w:hAnsi="Arial" w:cs="Arial"/>
        </w:rPr>
      </w:pPr>
      <w:r>
        <w:rPr>
          <w:rFonts w:ascii="Arial" w:hAnsi="Arial" w:cs="Arial"/>
        </w:rPr>
        <w:t xml:space="preserve">Option 2: For intra-band CA, capture REFSENS </w:t>
      </w:r>
      <w:r w:rsidR="002E41CA">
        <w:rPr>
          <w:rFonts w:ascii="Arial" w:hAnsi="Arial" w:cs="Arial"/>
        </w:rPr>
        <w:t xml:space="preserve">requirements </w:t>
      </w:r>
      <w:r>
        <w:rPr>
          <w:rFonts w:ascii="Arial" w:hAnsi="Arial" w:cs="Arial"/>
        </w:rPr>
        <w:t>using 2 tables and new suffix “</w:t>
      </w:r>
      <w:proofErr w:type="spellStart"/>
      <w:proofErr w:type="gramStart"/>
      <w:r>
        <w:rPr>
          <w:rFonts w:ascii="Arial" w:hAnsi="Arial" w:cs="Arial"/>
        </w:rPr>
        <w:t>a,b</w:t>
      </w:r>
      <w:proofErr w:type="spellEnd"/>
      <w:proofErr w:type="gramEnd"/>
      <w:r>
        <w:rPr>
          <w:rFonts w:ascii="Arial" w:hAnsi="Arial" w:cs="Arial"/>
        </w:rPr>
        <w:t>”:</w:t>
      </w:r>
    </w:p>
    <w:p w14:paraId="7F4A47B3" w14:textId="344FFED0" w:rsidR="00F62FE7" w:rsidRDefault="00F62FE7" w:rsidP="00F62FE7">
      <w:pPr>
        <w:pStyle w:val="ListParagraph"/>
        <w:numPr>
          <w:ilvl w:val="0"/>
          <w:numId w:val="22"/>
        </w:numPr>
        <w:rPr>
          <w:rFonts w:ascii="Arial" w:hAnsi="Arial" w:cs="Arial"/>
        </w:rPr>
      </w:pPr>
      <w:r>
        <w:rPr>
          <w:rFonts w:ascii="Arial" w:hAnsi="Arial" w:cs="Arial"/>
        </w:rPr>
        <w:t xml:space="preserve">Use suffix “a” to capture PC3 REFSENS, </w:t>
      </w:r>
      <w:r w:rsidR="0081644F">
        <w:rPr>
          <w:rFonts w:ascii="Arial" w:hAnsi="Arial" w:cs="Arial"/>
        </w:rPr>
        <w:t>e.g.</w:t>
      </w:r>
      <w:r w:rsidR="001F2DFD">
        <w:rPr>
          <w:rFonts w:ascii="Arial" w:hAnsi="Arial" w:cs="Arial"/>
        </w:rPr>
        <w:t xml:space="preserve"> Table</w:t>
      </w:r>
      <w:r w:rsidRPr="00F62FE7">
        <w:rPr>
          <w:rFonts w:ascii="Arial" w:hAnsi="Arial" w:cs="Arial"/>
        </w:rPr>
        <w:t xml:space="preserve"> 7.3A.2.1-1</w:t>
      </w:r>
      <w:r>
        <w:rPr>
          <w:rFonts w:ascii="Arial" w:hAnsi="Arial" w:cs="Arial"/>
        </w:rPr>
        <w:t xml:space="preserve">a for contiguous </w:t>
      </w:r>
      <w:proofErr w:type="gramStart"/>
      <w:r>
        <w:rPr>
          <w:rFonts w:ascii="Arial" w:hAnsi="Arial" w:cs="Arial"/>
        </w:rPr>
        <w:t>CA</w:t>
      </w:r>
      <w:proofErr w:type="gramEnd"/>
    </w:p>
    <w:p w14:paraId="5FADA01A" w14:textId="29C22A0F" w:rsidR="00F62FE7" w:rsidRDefault="00F62FE7" w:rsidP="00F62FE7">
      <w:pPr>
        <w:pStyle w:val="ListParagraph"/>
        <w:numPr>
          <w:ilvl w:val="0"/>
          <w:numId w:val="22"/>
        </w:numPr>
        <w:rPr>
          <w:rFonts w:ascii="Arial" w:hAnsi="Arial" w:cs="Arial"/>
        </w:rPr>
      </w:pPr>
      <w:r>
        <w:rPr>
          <w:rFonts w:ascii="Arial" w:hAnsi="Arial" w:cs="Arial"/>
        </w:rPr>
        <w:t xml:space="preserve">Use suffix “b” to capture the worst-case PC2 REFSENS, </w:t>
      </w:r>
      <w:r w:rsidR="0081644F">
        <w:rPr>
          <w:rFonts w:ascii="Arial" w:hAnsi="Arial" w:cs="Arial"/>
        </w:rPr>
        <w:t>e.g.</w:t>
      </w:r>
      <w:r>
        <w:rPr>
          <w:rFonts w:ascii="Arial" w:hAnsi="Arial" w:cs="Arial"/>
        </w:rPr>
        <w:t xml:space="preserve"> </w:t>
      </w:r>
      <w:r w:rsidRPr="00F62FE7">
        <w:rPr>
          <w:rFonts w:ascii="Arial" w:hAnsi="Arial" w:cs="Arial"/>
        </w:rPr>
        <w:t>Table 7.3A.2.1-1</w:t>
      </w:r>
      <w:r>
        <w:rPr>
          <w:rFonts w:ascii="Arial" w:hAnsi="Arial" w:cs="Arial"/>
        </w:rPr>
        <w:t>b for contiguous CA</w:t>
      </w:r>
      <w:r w:rsidR="000666B3">
        <w:rPr>
          <w:rFonts w:ascii="Arial" w:hAnsi="Arial" w:cs="Arial"/>
        </w:rPr>
        <w:t>,</w:t>
      </w:r>
    </w:p>
    <w:p w14:paraId="5A71725B" w14:textId="2CDAE014" w:rsidR="000666B3" w:rsidRDefault="000666B3" w:rsidP="000666B3">
      <w:pPr>
        <w:rPr>
          <w:rFonts w:ascii="Arial" w:hAnsi="Arial" w:cs="Arial"/>
        </w:rPr>
      </w:pPr>
      <w:r>
        <w:rPr>
          <w:rFonts w:ascii="Arial" w:hAnsi="Arial" w:cs="Arial"/>
        </w:rPr>
        <w:t xml:space="preserve">Option 3: For intra-band CA, capture </w:t>
      </w:r>
      <w:r w:rsidR="00CC5584">
        <w:rPr>
          <w:rFonts w:ascii="Arial" w:hAnsi="Arial" w:cs="Arial"/>
        </w:rPr>
        <w:t xml:space="preserve">the PC2 </w:t>
      </w:r>
      <w:r>
        <w:rPr>
          <w:rFonts w:ascii="Arial" w:hAnsi="Arial" w:cs="Arial"/>
        </w:rPr>
        <w:t xml:space="preserve">REFSENS requirements using </w:t>
      </w:r>
      <w:r w:rsidR="00CC5584">
        <w:rPr>
          <w:rFonts w:ascii="Arial" w:hAnsi="Arial" w:cs="Arial"/>
        </w:rPr>
        <w:t>only 1</w:t>
      </w:r>
      <w:r>
        <w:rPr>
          <w:rFonts w:ascii="Arial" w:hAnsi="Arial" w:cs="Arial"/>
        </w:rPr>
        <w:t xml:space="preserve"> table:</w:t>
      </w:r>
    </w:p>
    <w:p w14:paraId="4155773F" w14:textId="7CC61837" w:rsidR="000666B3" w:rsidRPr="00F35AF1" w:rsidRDefault="00CC5584" w:rsidP="00AC7981">
      <w:pPr>
        <w:pStyle w:val="ListParagraph"/>
        <w:numPr>
          <w:ilvl w:val="0"/>
          <w:numId w:val="22"/>
        </w:numPr>
        <w:rPr>
          <w:rFonts w:ascii="Arial" w:hAnsi="Arial" w:cs="Arial"/>
        </w:rPr>
      </w:pPr>
      <w:r>
        <w:rPr>
          <w:rFonts w:ascii="Arial" w:hAnsi="Arial" w:cs="Arial"/>
        </w:rPr>
        <w:t xml:space="preserve">Add </w:t>
      </w:r>
      <w:r w:rsidR="000666B3" w:rsidRPr="00F35AF1">
        <w:rPr>
          <w:rFonts w:ascii="Arial" w:hAnsi="Arial" w:cs="Arial"/>
        </w:rPr>
        <w:t xml:space="preserve">suffix “a” to </w:t>
      </w:r>
      <w:r>
        <w:rPr>
          <w:rFonts w:ascii="Arial" w:hAnsi="Arial" w:cs="Arial"/>
        </w:rPr>
        <w:t xml:space="preserve">the PC3 table number to </w:t>
      </w:r>
      <w:r w:rsidR="000666B3" w:rsidRPr="00F35AF1">
        <w:rPr>
          <w:rFonts w:ascii="Arial" w:hAnsi="Arial" w:cs="Arial"/>
        </w:rPr>
        <w:t>capture both</w:t>
      </w:r>
      <w:r>
        <w:rPr>
          <w:rFonts w:ascii="Arial" w:hAnsi="Arial" w:cs="Arial"/>
        </w:rPr>
        <w:t xml:space="preserve"> the</w:t>
      </w:r>
      <w:r w:rsidR="000666B3" w:rsidRPr="00F35AF1">
        <w:rPr>
          <w:rFonts w:ascii="Arial" w:hAnsi="Arial" w:cs="Arial"/>
        </w:rPr>
        <w:t xml:space="preserve"> 1Tx and </w:t>
      </w:r>
      <w:r>
        <w:rPr>
          <w:rFonts w:ascii="Arial" w:hAnsi="Arial" w:cs="Arial"/>
        </w:rPr>
        <w:t xml:space="preserve">the </w:t>
      </w:r>
      <w:r w:rsidR="000666B3" w:rsidRPr="00F35AF1">
        <w:rPr>
          <w:rFonts w:ascii="Arial" w:hAnsi="Arial" w:cs="Arial"/>
        </w:rPr>
        <w:t>2Tx PC2 REFSENS, e.g</w:t>
      </w:r>
      <w:r w:rsidR="0081644F">
        <w:rPr>
          <w:rFonts w:ascii="Arial" w:hAnsi="Arial" w:cs="Arial"/>
        </w:rPr>
        <w:t>.</w:t>
      </w:r>
      <w:r w:rsidR="000666B3" w:rsidRPr="00F35AF1">
        <w:rPr>
          <w:rFonts w:ascii="Arial" w:hAnsi="Arial" w:cs="Arial"/>
        </w:rPr>
        <w:t xml:space="preserve"> Table 7.3A.2.1-1</w:t>
      </w:r>
      <w:r>
        <w:rPr>
          <w:rFonts w:ascii="Arial" w:hAnsi="Arial" w:cs="Arial"/>
        </w:rPr>
        <w:t>a</w:t>
      </w:r>
      <w:r w:rsidR="000666B3" w:rsidRPr="00F35AF1">
        <w:rPr>
          <w:rFonts w:ascii="Arial" w:hAnsi="Arial" w:cs="Arial"/>
        </w:rPr>
        <w:t xml:space="preserve"> for contiguous CA. A footnote is used to distinguish the MSD for 1Tx vs 2Tx.</w:t>
      </w:r>
    </w:p>
    <w:p w14:paraId="343E76F2" w14:textId="77777777" w:rsidR="002E41CA" w:rsidRDefault="002E41CA" w:rsidP="00F62FE7">
      <w:pPr>
        <w:rPr>
          <w:rFonts w:ascii="Arial" w:hAnsi="Arial" w:cs="Arial"/>
        </w:rPr>
      </w:pPr>
      <w:r>
        <w:rPr>
          <w:rFonts w:ascii="Arial" w:hAnsi="Arial" w:cs="Arial"/>
        </w:rPr>
        <w:t>Each option has p</w:t>
      </w:r>
      <w:r w:rsidR="00F62FE7">
        <w:rPr>
          <w:rFonts w:ascii="Arial" w:hAnsi="Arial" w:cs="Arial"/>
        </w:rPr>
        <w:t>ro &amp; cons</w:t>
      </w:r>
      <w:r>
        <w:rPr>
          <w:rFonts w:ascii="Arial" w:hAnsi="Arial" w:cs="Arial"/>
        </w:rPr>
        <w:t>:</w:t>
      </w:r>
    </w:p>
    <w:p w14:paraId="527EC3A6" w14:textId="0DD296C4" w:rsidR="002E41CA" w:rsidRDefault="002E41CA" w:rsidP="00AE0452">
      <w:pPr>
        <w:pStyle w:val="ListParagraph"/>
        <w:numPr>
          <w:ilvl w:val="0"/>
          <w:numId w:val="22"/>
        </w:numPr>
        <w:rPr>
          <w:rFonts w:ascii="Arial" w:hAnsi="Arial" w:cs="Arial"/>
        </w:rPr>
      </w:pPr>
      <w:r w:rsidRPr="002E41CA">
        <w:rPr>
          <w:rFonts w:ascii="Arial" w:hAnsi="Arial" w:cs="Arial"/>
        </w:rPr>
        <w:t>Option 1 captures the difference between 1Tx and 2Tx performance, but since many band combinations are introduced with PC2 FDD, the impact on TS complexity and TS maintenance is important.</w:t>
      </w:r>
    </w:p>
    <w:p w14:paraId="2508D4FB" w14:textId="2EBC1C04" w:rsidR="00F62FE7" w:rsidRDefault="002E41CA" w:rsidP="002E41CA">
      <w:pPr>
        <w:pStyle w:val="ListParagraph"/>
        <w:numPr>
          <w:ilvl w:val="0"/>
          <w:numId w:val="22"/>
        </w:numPr>
        <w:rPr>
          <w:rFonts w:ascii="Arial" w:hAnsi="Arial" w:cs="Arial"/>
        </w:rPr>
      </w:pPr>
      <w:r>
        <w:rPr>
          <w:rFonts w:ascii="Arial" w:hAnsi="Arial" w:cs="Arial"/>
        </w:rPr>
        <w:t xml:space="preserve">Option 2 minimizes the impact on TS complexity and </w:t>
      </w:r>
      <w:r w:rsidR="00384DCA">
        <w:rPr>
          <w:rFonts w:ascii="Arial" w:hAnsi="Arial" w:cs="Arial"/>
        </w:rPr>
        <w:t>maintenance, but</w:t>
      </w:r>
      <w:r>
        <w:rPr>
          <w:rFonts w:ascii="Arial" w:hAnsi="Arial" w:cs="Arial"/>
        </w:rPr>
        <w:t xml:space="preserve"> </w:t>
      </w:r>
      <w:r w:rsidR="00384DCA">
        <w:rPr>
          <w:rFonts w:ascii="Arial" w:hAnsi="Arial" w:cs="Arial"/>
        </w:rPr>
        <w:t xml:space="preserve">it </w:t>
      </w:r>
      <w:r>
        <w:rPr>
          <w:rFonts w:ascii="Arial" w:hAnsi="Arial" w:cs="Arial"/>
        </w:rPr>
        <w:t>does not allow to distinguish 1Tx from 2Tx performance.</w:t>
      </w:r>
    </w:p>
    <w:p w14:paraId="4D01CBC5" w14:textId="0F70550C" w:rsidR="000666B3" w:rsidRDefault="000666B3" w:rsidP="002E41CA">
      <w:pPr>
        <w:pStyle w:val="ListParagraph"/>
        <w:numPr>
          <w:ilvl w:val="0"/>
          <w:numId w:val="22"/>
        </w:numPr>
        <w:rPr>
          <w:rFonts w:ascii="Arial" w:hAnsi="Arial" w:cs="Arial"/>
        </w:rPr>
      </w:pPr>
      <w:r>
        <w:rPr>
          <w:rFonts w:ascii="Arial" w:hAnsi="Arial" w:cs="Arial"/>
        </w:rPr>
        <w:t>Option 3: Captures both 1Tx and 2Tx performance, and minimizes the impact on the number of tables, but comes at the expense of footnotes.</w:t>
      </w:r>
    </w:p>
    <w:p w14:paraId="397A7CE3" w14:textId="0B85F4B1" w:rsidR="002E41CA" w:rsidRPr="002E41CA" w:rsidRDefault="002E41CA" w:rsidP="001F2DFD">
      <w:pPr>
        <w:spacing w:after="120"/>
        <w:rPr>
          <w:rFonts w:ascii="Arial" w:hAnsi="Arial" w:cs="Arial"/>
        </w:rPr>
      </w:pPr>
      <w:r>
        <w:rPr>
          <w:rFonts w:ascii="Arial" w:hAnsi="Arial" w:cs="Arial"/>
        </w:rPr>
        <w:t xml:space="preserve">As a compromise between option 1 and option 2, this WF proposes </w:t>
      </w:r>
      <w:r w:rsidR="000666B3">
        <w:rPr>
          <w:rFonts w:ascii="Arial" w:hAnsi="Arial" w:cs="Arial"/>
        </w:rPr>
        <w:t>to adopt option 3.</w:t>
      </w:r>
    </w:p>
    <w:p w14:paraId="3D440036" w14:textId="4681D75B" w:rsidR="002E41CA" w:rsidRPr="00547C26" w:rsidRDefault="002E41CA" w:rsidP="001F2DFD">
      <w:pPr>
        <w:pStyle w:val="Heading2"/>
        <w:spacing w:after="120"/>
        <w:rPr>
          <w:rFonts w:eastAsia="MS Mincho" w:cs="Arial"/>
          <w:bCs/>
          <w:vertAlign w:val="subscript"/>
        </w:rPr>
      </w:pPr>
      <w:r>
        <w:rPr>
          <w:rFonts w:cs="Arial"/>
        </w:rPr>
        <w:t>3</w:t>
      </w:r>
      <w:r w:rsidRPr="00547C26">
        <w:rPr>
          <w:rFonts w:cs="Arial"/>
        </w:rPr>
        <w:t>.2</w:t>
      </w:r>
      <w:r w:rsidRPr="00547C26">
        <w:rPr>
          <w:rFonts w:cs="Arial"/>
        </w:rPr>
        <w:tab/>
        <w:t xml:space="preserve">Way </w:t>
      </w:r>
      <w:r w:rsidR="007638FF">
        <w:rPr>
          <w:rFonts w:cs="Arial"/>
        </w:rPr>
        <w:t>F</w:t>
      </w:r>
      <w:r w:rsidR="007638FF" w:rsidRPr="00547C26">
        <w:rPr>
          <w:rFonts w:cs="Arial"/>
        </w:rPr>
        <w:t xml:space="preserve">orward </w:t>
      </w:r>
      <w:r w:rsidRPr="00547C26">
        <w:rPr>
          <w:rFonts w:cs="Arial"/>
        </w:rPr>
        <w:t xml:space="preserve">on </w:t>
      </w:r>
      <w:r w:rsidR="001F2DFD">
        <w:rPr>
          <w:rFonts w:cs="Arial"/>
        </w:rPr>
        <w:t>I</w:t>
      </w:r>
      <w:r w:rsidR="002958ED">
        <w:rPr>
          <w:rFonts w:cs="Arial"/>
        </w:rPr>
        <w:t>ntra-</w:t>
      </w:r>
      <w:r w:rsidR="001F2DFD">
        <w:rPr>
          <w:rFonts w:cs="Arial"/>
        </w:rPr>
        <w:t>B</w:t>
      </w:r>
      <w:r w:rsidR="002958ED">
        <w:rPr>
          <w:rFonts w:cs="Arial"/>
        </w:rPr>
        <w:t xml:space="preserve">and </w:t>
      </w:r>
      <w:r>
        <w:rPr>
          <w:rFonts w:eastAsia="MS Mincho" w:cs="Arial"/>
          <w:bCs/>
        </w:rPr>
        <w:t xml:space="preserve">REFSENS </w:t>
      </w:r>
      <w:r w:rsidR="002958ED">
        <w:rPr>
          <w:rFonts w:eastAsia="MS Mincho" w:cs="Arial"/>
          <w:bCs/>
        </w:rPr>
        <w:t>t</w:t>
      </w:r>
      <w:r>
        <w:rPr>
          <w:rFonts w:eastAsia="MS Mincho" w:cs="Arial"/>
          <w:bCs/>
        </w:rPr>
        <w:t>ables</w:t>
      </w:r>
    </w:p>
    <w:p w14:paraId="4395A2E4" w14:textId="30A0FD5D" w:rsidR="00645A62" w:rsidRPr="00645A62" w:rsidRDefault="00645A62" w:rsidP="002E41CA">
      <w:pPr>
        <w:rPr>
          <w:rFonts w:ascii="Arial" w:hAnsi="Arial" w:cs="Arial"/>
          <w:b/>
          <w:bCs/>
          <w:highlight w:val="green"/>
        </w:rPr>
      </w:pPr>
      <w:r w:rsidRPr="00645A62">
        <w:rPr>
          <w:rFonts w:ascii="Arial" w:hAnsi="Arial" w:cs="Arial"/>
          <w:b/>
          <w:bCs/>
          <w:highlight w:val="green"/>
        </w:rPr>
        <w:t>WF</w:t>
      </w:r>
      <w:r w:rsidR="002C3F79">
        <w:rPr>
          <w:rFonts w:ascii="Arial" w:hAnsi="Arial" w:cs="Arial"/>
          <w:b/>
          <w:bCs/>
          <w:highlight w:val="green"/>
        </w:rPr>
        <w:t>2</w:t>
      </w:r>
      <w:r w:rsidRPr="00645A62">
        <w:rPr>
          <w:rFonts w:ascii="Arial" w:hAnsi="Arial" w:cs="Arial"/>
          <w:b/>
          <w:bCs/>
          <w:highlight w:val="green"/>
        </w:rPr>
        <w:t xml:space="preserve"> on intra-band CA REFSENS tables:</w:t>
      </w:r>
    </w:p>
    <w:p w14:paraId="343259CC" w14:textId="59B0028C" w:rsidR="00746C81" w:rsidRPr="00746C81" w:rsidRDefault="002E41CA" w:rsidP="00746C81">
      <w:pPr>
        <w:rPr>
          <w:rFonts w:ascii="Arial" w:hAnsi="Arial" w:cs="Arial"/>
        </w:rPr>
      </w:pPr>
      <w:r w:rsidRPr="007C3229">
        <w:rPr>
          <w:rFonts w:ascii="Arial" w:hAnsi="Arial" w:cs="Arial"/>
          <w:highlight w:val="green"/>
        </w:rPr>
        <w:t xml:space="preserve">For intra-band CA, capture </w:t>
      </w:r>
      <w:r w:rsidR="00645A62" w:rsidRPr="007C3229">
        <w:rPr>
          <w:rFonts w:ascii="Arial" w:hAnsi="Arial" w:cs="Arial"/>
          <w:highlight w:val="green"/>
        </w:rPr>
        <w:t>the</w:t>
      </w:r>
      <w:r w:rsidR="00746C81" w:rsidRPr="007C3229">
        <w:rPr>
          <w:rFonts w:ascii="Arial" w:hAnsi="Arial" w:cs="Arial"/>
          <w:highlight w:val="green"/>
        </w:rPr>
        <w:t xml:space="preserve"> </w:t>
      </w:r>
      <w:r w:rsidR="007C3229" w:rsidRPr="007C3229">
        <w:rPr>
          <w:rFonts w:ascii="Arial" w:hAnsi="Arial" w:cs="Arial"/>
          <w:highlight w:val="green"/>
        </w:rPr>
        <w:t xml:space="preserve">1Tx and the 2Tx </w:t>
      </w:r>
      <w:r w:rsidR="003F4BC4">
        <w:rPr>
          <w:rFonts w:ascii="Arial" w:hAnsi="Arial" w:cs="Arial"/>
          <w:highlight w:val="green"/>
        </w:rPr>
        <w:t xml:space="preserve">FDD </w:t>
      </w:r>
      <w:r w:rsidR="00746C81" w:rsidRPr="007C3229">
        <w:rPr>
          <w:rFonts w:ascii="Arial" w:hAnsi="Arial" w:cs="Arial"/>
          <w:highlight w:val="green"/>
        </w:rPr>
        <w:t>PC2</w:t>
      </w:r>
      <w:r w:rsidR="00645A62" w:rsidRPr="007C3229">
        <w:rPr>
          <w:rFonts w:ascii="Arial" w:hAnsi="Arial" w:cs="Arial"/>
          <w:highlight w:val="green"/>
        </w:rPr>
        <w:t xml:space="preserve"> </w:t>
      </w:r>
      <w:r w:rsidRPr="007C3229">
        <w:rPr>
          <w:rFonts w:ascii="Arial" w:hAnsi="Arial" w:cs="Arial"/>
          <w:highlight w:val="green"/>
        </w:rPr>
        <w:t>REFSENS requirements</w:t>
      </w:r>
      <w:r w:rsidR="00746C81" w:rsidRPr="007C3229">
        <w:rPr>
          <w:rFonts w:ascii="Arial" w:hAnsi="Arial" w:cs="Arial"/>
          <w:highlight w:val="green"/>
        </w:rPr>
        <w:t xml:space="preserve"> </w:t>
      </w:r>
      <w:r w:rsidR="007C3229" w:rsidRPr="007C3229">
        <w:rPr>
          <w:rFonts w:ascii="Arial" w:hAnsi="Arial" w:cs="Arial"/>
          <w:highlight w:val="green"/>
        </w:rPr>
        <w:t>in</w:t>
      </w:r>
      <w:r w:rsidR="003F4BC4">
        <w:rPr>
          <w:rFonts w:ascii="Arial" w:hAnsi="Arial" w:cs="Arial"/>
          <w:highlight w:val="green"/>
        </w:rPr>
        <w:t>to</w:t>
      </w:r>
      <w:r w:rsidR="007C3229" w:rsidRPr="007C3229">
        <w:rPr>
          <w:rFonts w:ascii="Arial" w:hAnsi="Arial" w:cs="Arial"/>
          <w:highlight w:val="green"/>
        </w:rPr>
        <w:t xml:space="preserve"> a </w:t>
      </w:r>
      <w:r w:rsidR="00F5223A">
        <w:rPr>
          <w:rFonts w:ascii="Arial" w:hAnsi="Arial" w:cs="Arial"/>
          <w:highlight w:val="green"/>
        </w:rPr>
        <w:t xml:space="preserve">new, </w:t>
      </w:r>
      <w:r w:rsidR="007C3229" w:rsidRPr="007C3229">
        <w:rPr>
          <w:rFonts w:ascii="Arial" w:hAnsi="Arial" w:cs="Arial"/>
          <w:highlight w:val="green"/>
        </w:rPr>
        <w:t xml:space="preserve">single table </w:t>
      </w:r>
      <w:r w:rsidR="00D952B0" w:rsidRPr="00D952B0">
        <w:rPr>
          <w:rFonts w:ascii="Arial" w:hAnsi="Arial" w:cs="Arial"/>
          <w:highlight w:val="green"/>
        </w:rPr>
        <w:t>by adding the</w:t>
      </w:r>
      <w:r w:rsidR="00746C81" w:rsidRPr="00D952B0">
        <w:rPr>
          <w:rFonts w:ascii="Arial" w:hAnsi="Arial" w:cs="Arial"/>
          <w:highlight w:val="green"/>
        </w:rPr>
        <w:t xml:space="preserve"> </w:t>
      </w:r>
      <w:r w:rsidRPr="00D952B0">
        <w:rPr>
          <w:rFonts w:ascii="Arial" w:hAnsi="Arial" w:cs="Arial"/>
          <w:highlight w:val="green"/>
        </w:rPr>
        <w:t>suffix “</w:t>
      </w:r>
      <w:r w:rsidR="00746C81" w:rsidRPr="00D952B0">
        <w:rPr>
          <w:rFonts w:ascii="Arial" w:hAnsi="Arial" w:cs="Arial"/>
          <w:highlight w:val="green"/>
        </w:rPr>
        <w:t>a</w:t>
      </w:r>
      <w:r w:rsidRPr="00D952B0">
        <w:rPr>
          <w:rFonts w:ascii="Arial" w:hAnsi="Arial" w:cs="Arial"/>
          <w:highlight w:val="green"/>
        </w:rPr>
        <w:t>”</w:t>
      </w:r>
      <w:r w:rsidR="00D952B0" w:rsidRPr="00D952B0">
        <w:rPr>
          <w:rFonts w:ascii="Arial" w:hAnsi="Arial" w:cs="Arial"/>
          <w:highlight w:val="green"/>
        </w:rPr>
        <w:t xml:space="preserve"> to the PC3 Table number.</w:t>
      </w:r>
    </w:p>
    <w:p w14:paraId="0835809D" w14:textId="77777777" w:rsidR="00D952B0" w:rsidRDefault="00746C81" w:rsidP="00746C81">
      <w:pPr>
        <w:rPr>
          <w:rFonts w:ascii="Arial" w:hAnsi="Arial" w:cs="Arial"/>
          <w:highlight w:val="green"/>
        </w:rPr>
      </w:pPr>
      <w:r>
        <w:rPr>
          <w:rFonts w:ascii="Arial" w:hAnsi="Arial" w:cs="Arial"/>
          <w:highlight w:val="green"/>
        </w:rPr>
        <w:t xml:space="preserve">The </w:t>
      </w:r>
      <w:r w:rsidR="00681770" w:rsidRPr="00746C81">
        <w:rPr>
          <w:rFonts w:ascii="Arial" w:hAnsi="Arial" w:cs="Arial"/>
          <w:highlight w:val="green"/>
        </w:rPr>
        <w:t>1Tx vs 2Tx MSD test points are distinguished using footnotes</w:t>
      </w:r>
      <w:r>
        <w:rPr>
          <w:rFonts w:ascii="Arial" w:hAnsi="Arial" w:cs="Arial"/>
          <w:highlight w:val="green"/>
        </w:rPr>
        <w:t xml:space="preserve">. </w:t>
      </w:r>
    </w:p>
    <w:p w14:paraId="781C12B5" w14:textId="5E94A973" w:rsidR="002E41CA" w:rsidRPr="007C3229" w:rsidRDefault="002047AF" w:rsidP="00746C81">
      <w:pPr>
        <w:rPr>
          <w:rFonts w:ascii="Arial" w:hAnsi="Arial" w:cs="Arial"/>
          <w:highlight w:val="green"/>
        </w:rPr>
      </w:pPr>
      <w:r>
        <w:rPr>
          <w:rFonts w:ascii="Arial" w:hAnsi="Arial" w:cs="Arial"/>
          <w:highlight w:val="green"/>
        </w:rPr>
        <w:t>Table 1 below shows an example of table template for the example of intra-band non-contiguous CA.</w:t>
      </w:r>
    </w:p>
    <w:p w14:paraId="11B9F863" w14:textId="04D95C19" w:rsidR="00746C81" w:rsidRPr="00746C81" w:rsidRDefault="00746C81" w:rsidP="007C3229">
      <w:pPr>
        <w:overflowPunct w:val="0"/>
        <w:autoSpaceDE w:val="0"/>
        <w:autoSpaceDN w:val="0"/>
        <w:adjustRightInd w:val="0"/>
        <w:snapToGrid w:val="0"/>
        <w:spacing w:after="120"/>
        <w:textAlignment w:val="baseline"/>
        <w:rPr>
          <w:rFonts w:ascii="Arial" w:eastAsia="Times New Roman" w:hAnsi="Arial" w:cs="Arial"/>
          <w:lang w:val="en-US" w:eastAsia="en-GB"/>
        </w:rPr>
      </w:pPr>
      <w:bookmarkStart w:id="6" w:name="_Ref160099305"/>
      <w:r w:rsidRPr="00746C81">
        <w:rPr>
          <w:rFonts w:ascii="Arial" w:eastAsia="Times New Roman" w:hAnsi="Arial" w:cs="Arial"/>
          <w:b/>
          <w:bCs/>
          <w:lang w:val="en-US" w:eastAsia="en-GB"/>
        </w:rPr>
        <w:t xml:space="preserve">Table </w:t>
      </w:r>
      <w:r w:rsidRPr="00746C81">
        <w:rPr>
          <w:rFonts w:ascii="Arial" w:eastAsia="Times New Roman" w:hAnsi="Arial" w:cs="Arial"/>
          <w:b/>
          <w:bCs/>
          <w:lang w:val="en-US" w:eastAsia="en-GB"/>
        </w:rPr>
        <w:fldChar w:fldCharType="begin"/>
      </w:r>
      <w:r w:rsidRPr="00746C81">
        <w:rPr>
          <w:rFonts w:ascii="Arial" w:eastAsia="Times New Roman" w:hAnsi="Arial" w:cs="Arial"/>
          <w:b/>
          <w:bCs/>
          <w:lang w:val="en-US" w:eastAsia="en-GB"/>
        </w:rPr>
        <w:instrText xml:space="preserve"> SEQ Table \* ARABIC </w:instrText>
      </w:r>
      <w:r w:rsidRPr="00746C81">
        <w:rPr>
          <w:rFonts w:ascii="Arial" w:eastAsia="Times New Roman" w:hAnsi="Arial" w:cs="Arial"/>
          <w:b/>
          <w:bCs/>
          <w:lang w:val="en-US" w:eastAsia="en-GB"/>
        </w:rPr>
        <w:fldChar w:fldCharType="separate"/>
      </w:r>
      <w:r w:rsidRPr="004D4F27">
        <w:rPr>
          <w:rFonts w:ascii="Arial" w:eastAsia="Times New Roman" w:hAnsi="Arial" w:cs="Arial"/>
          <w:b/>
          <w:bCs/>
          <w:noProof/>
          <w:lang w:val="en-US" w:eastAsia="en-GB"/>
        </w:rPr>
        <w:t>1</w:t>
      </w:r>
      <w:r w:rsidRPr="00746C81">
        <w:rPr>
          <w:rFonts w:ascii="Arial" w:eastAsia="Times New Roman" w:hAnsi="Arial" w:cs="Arial"/>
          <w:b/>
          <w:bCs/>
          <w:lang w:val="en-US" w:eastAsia="en-GB"/>
        </w:rPr>
        <w:fldChar w:fldCharType="end"/>
      </w:r>
      <w:bookmarkEnd w:id="6"/>
      <w:r w:rsidRPr="00746C81">
        <w:rPr>
          <w:rFonts w:ascii="Arial" w:eastAsia="Times New Roman" w:hAnsi="Arial" w:cs="Arial"/>
          <w:b/>
          <w:bCs/>
          <w:lang w:val="en-US" w:eastAsia="en-GB"/>
        </w:rPr>
        <w:t xml:space="preserve">: </w:t>
      </w:r>
      <w:r w:rsidR="008B3CD2" w:rsidRPr="004D4F27">
        <w:rPr>
          <w:rFonts w:ascii="Arial" w:eastAsia="Times New Roman" w:hAnsi="Arial" w:cs="Arial"/>
          <w:lang w:val="en-US" w:eastAsia="en-GB"/>
        </w:rPr>
        <w:t xml:space="preserve">Intra-band non-contiguous CA with one uplink configuration for reference sensitivity </w:t>
      </w:r>
      <w:r w:rsidR="008B3CD2" w:rsidRPr="00D952B0">
        <w:rPr>
          <w:rFonts w:ascii="Arial" w:eastAsia="Times New Roman" w:hAnsi="Arial" w:cs="Arial"/>
          <w:highlight w:val="green"/>
          <w:lang w:val="en-US" w:eastAsia="en-GB"/>
        </w:rPr>
        <w:t>for PC2 in FDD</w:t>
      </w:r>
      <w:r w:rsidR="008B3CD2" w:rsidRPr="00D952B0">
        <w:rPr>
          <w:rFonts w:ascii="Arial" w:eastAsia="Times New Roman" w:hAnsi="Arial" w:cs="Arial"/>
          <w:lang w:val="en-US" w:eastAsia="en-GB"/>
        </w:rPr>
        <w:t xml:space="preserve"> </w:t>
      </w:r>
      <w:r w:rsidR="008B3CD2" w:rsidRPr="00D952B0">
        <w:rPr>
          <w:rFonts w:ascii="Arial" w:eastAsia="Times New Roman" w:hAnsi="Arial" w:cs="Arial"/>
          <w:highlight w:val="green"/>
          <w:lang w:val="en-US" w:eastAsia="en-GB"/>
        </w:rPr>
        <w:t>bands</w:t>
      </w:r>
      <w:r w:rsidR="008B3CD2" w:rsidRPr="004D4F27">
        <w:rPr>
          <w:rFonts w:ascii="Arial" w:eastAsia="Times New Roman" w:hAnsi="Arial" w:cs="Arial"/>
          <w:lang w:val="en-US" w:eastAsia="en-GB"/>
        </w:rPr>
        <w:t xml:space="preserve"> </w:t>
      </w:r>
      <w:r w:rsidR="007C3229" w:rsidRPr="004D4F27">
        <w:rPr>
          <w:rFonts w:ascii="Arial" w:eastAsia="Times New Roman" w:hAnsi="Arial" w:cs="Arial"/>
          <w:lang w:val="en-US" w:eastAsia="en-GB"/>
        </w:rPr>
        <w:t>-</w:t>
      </w:r>
      <w:r w:rsidR="008B3CD2" w:rsidRPr="004D4F27">
        <w:rPr>
          <w:rFonts w:ascii="Arial" w:eastAsia="Times New Roman" w:hAnsi="Arial" w:cs="Arial"/>
          <w:lang w:val="en-US" w:eastAsia="en-GB"/>
        </w:rPr>
        <w:t>Table 7.3A.2.2-1</w:t>
      </w:r>
      <w:r w:rsidR="008B3CD2" w:rsidRPr="004D4F27">
        <w:rPr>
          <w:rFonts w:ascii="Arial" w:eastAsia="Times New Roman" w:hAnsi="Arial" w:cs="Arial"/>
          <w:b/>
          <w:bCs/>
          <w:highlight w:val="green"/>
          <w:lang w:val="en-US" w:eastAsia="en-GB"/>
        </w:rPr>
        <w:t>a</w:t>
      </w:r>
      <w:r w:rsidR="008B3CD2" w:rsidRPr="003F4BC4">
        <w:rPr>
          <w:rFonts w:ascii="Arial" w:eastAsia="Times New Roman" w:hAnsi="Arial" w:cs="Arial"/>
          <w:lang w:val="en-US" w:eastAsia="en-GB"/>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983"/>
        <w:gridCol w:w="1971"/>
        <w:gridCol w:w="1204"/>
        <w:gridCol w:w="1592"/>
        <w:gridCol w:w="849"/>
        <w:gridCol w:w="849"/>
        <w:gridCol w:w="817"/>
      </w:tblGrid>
      <w:tr w:rsidR="008B3CD2" w:rsidRPr="00746C81" w14:paraId="4049395F" w14:textId="77777777" w:rsidTr="008B3CD2">
        <w:trPr>
          <w:trHeight w:val="690"/>
          <w:jc w:val="center"/>
        </w:trPr>
        <w:tc>
          <w:tcPr>
            <w:tcW w:w="693" w:type="pct"/>
            <w:tcBorders>
              <w:top w:val="single" w:sz="4" w:space="0" w:color="auto"/>
              <w:left w:val="single" w:sz="4" w:space="0" w:color="auto"/>
              <w:bottom w:val="single" w:sz="4" w:space="0" w:color="auto"/>
              <w:right w:val="single" w:sz="4" w:space="0" w:color="auto"/>
            </w:tcBorders>
            <w:vAlign w:val="center"/>
            <w:hideMark/>
          </w:tcPr>
          <w:p w14:paraId="267AA5A3" w14:textId="77777777" w:rsidR="008B3CD2" w:rsidRPr="00746C81" w:rsidRDefault="008B3CD2" w:rsidP="00746C81">
            <w:pPr>
              <w:keepNext/>
              <w:keepLines/>
              <w:spacing w:after="0"/>
              <w:jc w:val="center"/>
              <w:rPr>
                <w:rFonts w:ascii="Arial" w:eastAsia="MS Mincho" w:hAnsi="Arial" w:cs="Arial"/>
                <w:b/>
                <w:sz w:val="18"/>
              </w:rPr>
            </w:pPr>
            <w:r w:rsidRPr="00746C81">
              <w:rPr>
                <w:rFonts w:ascii="Arial" w:eastAsia="MS Mincho" w:hAnsi="Arial" w:cs="Arial"/>
                <w:b/>
                <w:sz w:val="18"/>
              </w:rPr>
              <w:lastRenderedPageBreak/>
              <w:t>CA configuration</w:t>
            </w:r>
          </w:p>
        </w:tc>
        <w:tc>
          <w:tcPr>
            <w:tcW w:w="535" w:type="pct"/>
            <w:tcBorders>
              <w:top w:val="single" w:sz="4" w:space="0" w:color="auto"/>
              <w:left w:val="single" w:sz="4" w:space="0" w:color="auto"/>
              <w:bottom w:val="single" w:sz="4" w:space="0" w:color="auto"/>
              <w:right w:val="single" w:sz="4" w:space="0" w:color="auto"/>
            </w:tcBorders>
            <w:vAlign w:val="center"/>
            <w:hideMark/>
          </w:tcPr>
          <w:p w14:paraId="4A31367B" w14:textId="77777777" w:rsidR="008B3CD2" w:rsidRPr="00746C81" w:rsidRDefault="008B3CD2" w:rsidP="00746C81">
            <w:pPr>
              <w:keepNext/>
              <w:keepLines/>
              <w:spacing w:after="0"/>
              <w:jc w:val="center"/>
              <w:rPr>
                <w:rFonts w:ascii="Arial" w:eastAsia="MS Mincho" w:hAnsi="Arial" w:cs="Arial"/>
                <w:b/>
                <w:sz w:val="18"/>
              </w:rPr>
            </w:pPr>
            <w:r w:rsidRPr="00746C81">
              <w:rPr>
                <w:rFonts w:ascii="Arial" w:eastAsia="MS Mincho" w:hAnsi="Arial" w:cs="Arial"/>
                <w:b/>
                <w:sz w:val="18"/>
              </w:rPr>
              <w:t>SCS</w:t>
            </w:r>
          </w:p>
          <w:p w14:paraId="5D03E579" w14:textId="77777777" w:rsidR="008B3CD2" w:rsidRPr="00746C81" w:rsidRDefault="008B3CD2" w:rsidP="00746C81">
            <w:pPr>
              <w:keepNext/>
              <w:keepLines/>
              <w:spacing w:after="0"/>
              <w:jc w:val="center"/>
              <w:rPr>
                <w:rFonts w:ascii="Arial" w:eastAsia="MS Mincho" w:hAnsi="Arial" w:cs="Arial"/>
                <w:b/>
                <w:sz w:val="18"/>
              </w:rPr>
            </w:pPr>
            <w:r w:rsidRPr="00746C81">
              <w:rPr>
                <w:rFonts w:ascii="Arial" w:eastAsia="MS Mincho" w:hAnsi="Arial" w:cs="Arial"/>
                <w:b/>
                <w:sz w:val="18"/>
              </w:rPr>
              <w:t>(kHz)</w:t>
            </w:r>
          </w:p>
        </w:tc>
        <w:tc>
          <w:tcPr>
            <w:tcW w:w="1048" w:type="pct"/>
            <w:tcBorders>
              <w:top w:val="single" w:sz="4" w:space="0" w:color="auto"/>
              <w:left w:val="single" w:sz="4" w:space="0" w:color="auto"/>
              <w:bottom w:val="single" w:sz="4" w:space="0" w:color="auto"/>
              <w:right w:val="single" w:sz="4" w:space="0" w:color="auto"/>
            </w:tcBorders>
            <w:vAlign w:val="center"/>
            <w:hideMark/>
          </w:tcPr>
          <w:p w14:paraId="79873629" w14:textId="77777777" w:rsidR="008B3CD2" w:rsidRPr="00746C81" w:rsidRDefault="008B3CD2" w:rsidP="00746C81">
            <w:pPr>
              <w:keepNext/>
              <w:keepLines/>
              <w:spacing w:after="0"/>
              <w:jc w:val="center"/>
              <w:rPr>
                <w:rFonts w:ascii="Arial" w:eastAsia="MS Mincho" w:hAnsi="Arial" w:cs="Arial"/>
                <w:b/>
                <w:sz w:val="18"/>
              </w:rPr>
            </w:pPr>
            <w:r w:rsidRPr="00746C81">
              <w:rPr>
                <w:rFonts w:ascii="Arial" w:eastAsia="MS Mincho" w:hAnsi="Arial" w:cs="Arial"/>
                <w:b/>
                <w:sz w:val="18"/>
              </w:rPr>
              <w:t>Aggregated channel bandwidth (PCC+SCC)</w:t>
            </w:r>
          </w:p>
        </w:tc>
        <w:tc>
          <w:tcPr>
            <w:tcW w:w="650" w:type="pct"/>
            <w:tcBorders>
              <w:top w:val="single" w:sz="4" w:space="0" w:color="auto"/>
              <w:left w:val="single" w:sz="4" w:space="0" w:color="auto"/>
              <w:bottom w:val="single" w:sz="4" w:space="0" w:color="auto"/>
              <w:right w:val="single" w:sz="4" w:space="0" w:color="auto"/>
            </w:tcBorders>
            <w:vAlign w:val="center"/>
            <w:hideMark/>
          </w:tcPr>
          <w:p w14:paraId="5335AF9D" w14:textId="77777777" w:rsidR="008B3CD2" w:rsidRPr="00746C81" w:rsidRDefault="008B3CD2" w:rsidP="00746C81">
            <w:pPr>
              <w:keepNext/>
              <w:keepLines/>
              <w:spacing w:after="0"/>
              <w:jc w:val="center"/>
              <w:rPr>
                <w:rFonts w:ascii="Arial" w:eastAsia="MS Mincho" w:hAnsi="Arial" w:cs="Arial"/>
                <w:b/>
                <w:sz w:val="18"/>
              </w:rPr>
            </w:pPr>
            <w:proofErr w:type="spellStart"/>
            <w:r w:rsidRPr="00746C81">
              <w:rPr>
                <w:rFonts w:ascii="Arial" w:eastAsia="MS Mincho" w:hAnsi="Arial" w:cs="Arial"/>
                <w:b/>
                <w:sz w:val="18"/>
              </w:rPr>
              <w:t>W</w:t>
            </w:r>
            <w:r w:rsidRPr="00746C81">
              <w:rPr>
                <w:rFonts w:ascii="Arial" w:eastAsia="MS Mincho" w:hAnsi="Arial" w:cs="Arial"/>
                <w:b/>
                <w:sz w:val="18"/>
                <w:vertAlign w:val="subscript"/>
              </w:rPr>
              <w:t>gap</w:t>
            </w:r>
            <w:proofErr w:type="spellEnd"/>
            <w:r w:rsidRPr="00746C81">
              <w:rPr>
                <w:rFonts w:ascii="Arial" w:eastAsia="MS Mincho" w:hAnsi="Arial" w:cs="Arial"/>
                <w:b/>
                <w:sz w:val="18"/>
                <w:vertAlign w:val="subscript"/>
              </w:rPr>
              <w:t xml:space="preserve"> </w:t>
            </w:r>
            <w:r w:rsidRPr="00746C81">
              <w:rPr>
                <w:rFonts w:ascii="Arial" w:eastAsia="MS Mincho" w:hAnsi="Arial" w:cs="Arial"/>
                <w:b/>
                <w:sz w:val="18"/>
              </w:rPr>
              <w:t>/ [MHz]</w:t>
            </w:r>
          </w:p>
        </w:tc>
        <w:tc>
          <w:tcPr>
            <w:tcW w:w="851" w:type="pct"/>
            <w:tcBorders>
              <w:top w:val="single" w:sz="4" w:space="0" w:color="auto"/>
              <w:left w:val="single" w:sz="4" w:space="0" w:color="auto"/>
              <w:bottom w:val="single" w:sz="4" w:space="0" w:color="auto"/>
              <w:right w:val="single" w:sz="4" w:space="0" w:color="auto"/>
            </w:tcBorders>
            <w:vAlign w:val="center"/>
            <w:hideMark/>
          </w:tcPr>
          <w:p w14:paraId="4D9F0974" w14:textId="77777777" w:rsidR="008B3CD2" w:rsidRPr="00746C81" w:rsidRDefault="008B3CD2" w:rsidP="00746C81">
            <w:pPr>
              <w:keepNext/>
              <w:keepLines/>
              <w:spacing w:after="0"/>
              <w:jc w:val="center"/>
              <w:rPr>
                <w:rFonts w:ascii="Arial" w:eastAsia="MS Mincho" w:hAnsi="Arial" w:cs="Arial"/>
                <w:b/>
                <w:sz w:val="18"/>
              </w:rPr>
            </w:pPr>
            <w:r w:rsidRPr="00746C81">
              <w:rPr>
                <w:rFonts w:ascii="Arial" w:eastAsia="MS Mincho" w:hAnsi="Arial" w:cs="Arial"/>
                <w:b/>
                <w:sz w:val="18"/>
              </w:rPr>
              <w:t>UL PCC allocation</w:t>
            </w:r>
          </w:p>
        </w:tc>
        <w:tc>
          <w:tcPr>
            <w:tcW w:w="395" w:type="pct"/>
            <w:tcBorders>
              <w:top w:val="single" w:sz="4" w:space="0" w:color="auto"/>
              <w:left w:val="single" w:sz="4" w:space="0" w:color="auto"/>
              <w:bottom w:val="single" w:sz="4" w:space="0" w:color="auto"/>
              <w:right w:val="single" w:sz="4" w:space="0" w:color="auto"/>
            </w:tcBorders>
            <w:vAlign w:val="center"/>
            <w:hideMark/>
          </w:tcPr>
          <w:p w14:paraId="693A84CC" w14:textId="0EA0C62C" w:rsidR="008B3CD2" w:rsidRPr="00746C81" w:rsidRDefault="008B3CD2" w:rsidP="00746C81">
            <w:pPr>
              <w:keepNext/>
              <w:keepLines/>
              <w:spacing w:after="0"/>
              <w:jc w:val="center"/>
              <w:rPr>
                <w:rFonts w:ascii="Arial" w:eastAsia="MS Mincho" w:hAnsi="Arial" w:cs="Arial"/>
                <w:b/>
                <w:sz w:val="18"/>
              </w:rPr>
            </w:pPr>
            <w:r w:rsidRPr="00746C81">
              <w:rPr>
                <w:rFonts w:ascii="Arial" w:eastAsia="MS Mincho" w:hAnsi="Arial" w:cs="Arial"/>
                <w:b/>
                <w:sz w:val="18"/>
              </w:rPr>
              <w:t>ΔR</w:t>
            </w:r>
            <w:r w:rsidRPr="00746C81">
              <w:rPr>
                <w:rFonts w:ascii="Arial" w:eastAsia="MS Mincho" w:hAnsi="Arial" w:cs="Arial"/>
                <w:b/>
                <w:sz w:val="18"/>
                <w:vertAlign w:val="subscript"/>
              </w:rPr>
              <w:t>IBNC</w:t>
            </w:r>
            <w:r w:rsidRPr="008B3CD2">
              <w:rPr>
                <w:rFonts w:ascii="Arial" w:eastAsia="MS Mincho" w:hAnsi="Arial" w:cs="Arial"/>
                <w:b/>
                <w:sz w:val="18"/>
                <w:highlight w:val="green"/>
                <w:vertAlign w:val="superscript"/>
              </w:rPr>
              <w:t>X</w:t>
            </w:r>
            <w:r w:rsidRPr="00746C81">
              <w:rPr>
                <w:rFonts w:ascii="Arial" w:eastAsia="MS Mincho" w:hAnsi="Arial" w:cs="Arial"/>
                <w:b/>
                <w:sz w:val="18"/>
              </w:rPr>
              <w:t xml:space="preserve"> (dB)</w:t>
            </w:r>
          </w:p>
        </w:tc>
        <w:tc>
          <w:tcPr>
            <w:tcW w:w="414" w:type="pct"/>
            <w:tcBorders>
              <w:top w:val="single" w:sz="4" w:space="0" w:color="auto"/>
              <w:left w:val="single" w:sz="4" w:space="0" w:color="auto"/>
              <w:bottom w:val="single" w:sz="4" w:space="0" w:color="auto"/>
              <w:right w:val="single" w:sz="4" w:space="0" w:color="auto"/>
            </w:tcBorders>
            <w:vAlign w:val="center"/>
          </w:tcPr>
          <w:p w14:paraId="2BCD9478" w14:textId="6054A418" w:rsidR="008B3CD2" w:rsidRPr="00746C81" w:rsidRDefault="008B3CD2" w:rsidP="008B3CD2">
            <w:pPr>
              <w:keepNext/>
              <w:keepLines/>
              <w:spacing w:after="0"/>
              <w:jc w:val="center"/>
              <w:rPr>
                <w:rFonts w:ascii="Arial" w:eastAsia="MS Mincho" w:hAnsi="Arial" w:cs="Arial"/>
                <w:b/>
                <w:sz w:val="18"/>
              </w:rPr>
            </w:pPr>
            <w:r w:rsidRPr="00746C81">
              <w:rPr>
                <w:rFonts w:ascii="Arial" w:eastAsia="MS Mincho" w:hAnsi="Arial" w:cs="Arial"/>
                <w:b/>
                <w:sz w:val="18"/>
              </w:rPr>
              <w:t>ΔR</w:t>
            </w:r>
            <w:r w:rsidRPr="00746C81">
              <w:rPr>
                <w:rFonts w:ascii="Arial" w:eastAsia="MS Mincho" w:hAnsi="Arial" w:cs="Arial"/>
                <w:b/>
                <w:sz w:val="18"/>
                <w:vertAlign w:val="subscript"/>
              </w:rPr>
              <w:t>IBNC</w:t>
            </w:r>
            <w:r w:rsidRPr="008B3CD2">
              <w:rPr>
                <w:rFonts w:ascii="Arial" w:eastAsia="MS Mincho" w:hAnsi="Arial" w:cs="Arial"/>
                <w:b/>
                <w:sz w:val="18"/>
                <w:highlight w:val="green"/>
                <w:vertAlign w:val="superscript"/>
              </w:rPr>
              <w:t>Y</w:t>
            </w:r>
            <w:r w:rsidRPr="00746C81">
              <w:rPr>
                <w:rFonts w:ascii="Arial" w:eastAsia="MS Mincho" w:hAnsi="Arial" w:cs="Arial"/>
                <w:b/>
                <w:sz w:val="18"/>
              </w:rPr>
              <w:t xml:space="preserve"> (dB)</w:t>
            </w:r>
          </w:p>
        </w:tc>
        <w:tc>
          <w:tcPr>
            <w:tcW w:w="414" w:type="pct"/>
            <w:tcBorders>
              <w:top w:val="single" w:sz="4" w:space="0" w:color="auto"/>
              <w:left w:val="single" w:sz="4" w:space="0" w:color="auto"/>
              <w:bottom w:val="single" w:sz="4" w:space="0" w:color="auto"/>
              <w:right w:val="single" w:sz="4" w:space="0" w:color="auto"/>
            </w:tcBorders>
            <w:vAlign w:val="center"/>
            <w:hideMark/>
          </w:tcPr>
          <w:p w14:paraId="05058844" w14:textId="47232EF7" w:rsidR="008B3CD2" w:rsidRPr="00746C81" w:rsidRDefault="008B3CD2" w:rsidP="00746C81">
            <w:pPr>
              <w:keepNext/>
              <w:keepLines/>
              <w:spacing w:after="0"/>
              <w:jc w:val="center"/>
              <w:rPr>
                <w:rFonts w:ascii="Arial" w:eastAsia="MS Mincho" w:hAnsi="Arial" w:cs="Arial"/>
                <w:b/>
                <w:sz w:val="18"/>
              </w:rPr>
            </w:pPr>
            <w:r w:rsidRPr="00746C81">
              <w:rPr>
                <w:rFonts w:ascii="Arial" w:eastAsia="MS Mincho" w:hAnsi="Arial" w:cs="Arial"/>
                <w:b/>
                <w:sz w:val="18"/>
              </w:rPr>
              <w:t>Duplex mode</w:t>
            </w:r>
          </w:p>
        </w:tc>
      </w:tr>
      <w:tr w:rsidR="008B3CD2" w:rsidRPr="00746C81" w14:paraId="5F532E19" w14:textId="77777777" w:rsidTr="008B3CD2">
        <w:trPr>
          <w:trHeight w:val="20"/>
          <w:jc w:val="center"/>
        </w:trPr>
        <w:tc>
          <w:tcPr>
            <w:tcW w:w="693" w:type="pct"/>
            <w:tcBorders>
              <w:left w:val="single" w:sz="4" w:space="0" w:color="auto"/>
              <w:right w:val="single" w:sz="4" w:space="0" w:color="auto"/>
            </w:tcBorders>
            <w:vAlign w:val="center"/>
          </w:tcPr>
          <w:p w14:paraId="542AD2D8" w14:textId="77777777" w:rsidR="008B3CD2" w:rsidRPr="00746C81" w:rsidRDefault="008B3CD2" w:rsidP="00746C81">
            <w:pPr>
              <w:keepNext/>
              <w:keepLines/>
              <w:spacing w:after="0"/>
              <w:jc w:val="center"/>
              <w:rPr>
                <w:rFonts w:ascii="Arial" w:eastAsia="MS Mincho" w:hAnsi="Arial"/>
                <w:sz w:val="18"/>
              </w:rPr>
            </w:pPr>
            <w:r w:rsidRPr="00746C81">
              <w:rPr>
                <w:rFonts w:ascii="Arial" w:eastAsia="MS Mincho" w:hAnsi="Arial" w:cs="Arial"/>
                <w:sz w:val="18"/>
                <w:szCs w:val="18"/>
              </w:rPr>
              <w:t>CA_n71(2A)</w:t>
            </w:r>
          </w:p>
        </w:tc>
        <w:tc>
          <w:tcPr>
            <w:tcW w:w="535" w:type="pct"/>
            <w:tcBorders>
              <w:left w:val="single" w:sz="4" w:space="0" w:color="auto"/>
              <w:right w:val="single" w:sz="4" w:space="0" w:color="auto"/>
            </w:tcBorders>
            <w:vAlign w:val="center"/>
          </w:tcPr>
          <w:p w14:paraId="09E78070" w14:textId="77777777" w:rsidR="008B3CD2" w:rsidRPr="00746C81" w:rsidRDefault="008B3CD2" w:rsidP="00746C81">
            <w:pPr>
              <w:keepNext/>
              <w:keepLines/>
              <w:spacing w:after="0"/>
              <w:jc w:val="center"/>
              <w:rPr>
                <w:rFonts w:ascii="Arial" w:eastAsia="MS Mincho" w:hAnsi="Arial"/>
                <w:sz w:val="18"/>
              </w:rPr>
            </w:pPr>
            <w:r w:rsidRPr="00746C81">
              <w:rPr>
                <w:rFonts w:ascii="Arial" w:eastAsia="MS Mincho" w:hAnsi="Arial" w:cs="Arial"/>
                <w:sz w:val="18"/>
                <w:szCs w:val="18"/>
              </w:rPr>
              <w:t>15/15</w:t>
            </w:r>
          </w:p>
        </w:tc>
        <w:tc>
          <w:tcPr>
            <w:tcW w:w="1048" w:type="pct"/>
            <w:tcBorders>
              <w:left w:val="single" w:sz="4" w:space="0" w:color="auto"/>
              <w:right w:val="single" w:sz="4" w:space="0" w:color="auto"/>
            </w:tcBorders>
            <w:vAlign w:val="center"/>
          </w:tcPr>
          <w:p w14:paraId="1137059B" w14:textId="77777777" w:rsidR="008B3CD2" w:rsidRPr="00746C81" w:rsidRDefault="008B3CD2" w:rsidP="00746C81">
            <w:pPr>
              <w:keepNext/>
              <w:keepLines/>
              <w:spacing w:after="0"/>
              <w:jc w:val="center"/>
              <w:rPr>
                <w:rFonts w:ascii="Arial" w:eastAsia="MS Mincho" w:hAnsi="Arial"/>
                <w:sz w:val="18"/>
              </w:rPr>
            </w:pPr>
            <w:r w:rsidRPr="00746C81">
              <w:rPr>
                <w:rFonts w:ascii="Arial" w:eastAsia="MS Mincho" w:hAnsi="Arial"/>
                <w:sz w:val="18"/>
              </w:rPr>
              <w:t>20MHz + 5MHz</w:t>
            </w:r>
          </w:p>
        </w:tc>
        <w:tc>
          <w:tcPr>
            <w:tcW w:w="650" w:type="pct"/>
            <w:tcBorders>
              <w:top w:val="single" w:sz="4" w:space="0" w:color="auto"/>
              <w:left w:val="single" w:sz="4" w:space="0" w:color="auto"/>
              <w:bottom w:val="single" w:sz="4" w:space="0" w:color="auto"/>
              <w:right w:val="single" w:sz="4" w:space="0" w:color="auto"/>
            </w:tcBorders>
            <w:vAlign w:val="center"/>
          </w:tcPr>
          <w:p w14:paraId="06DED8A3" w14:textId="77777777" w:rsidR="008B3CD2" w:rsidRPr="00746C81" w:rsidRDefault="008B3CD2" w:rsidP="00746C81">
            <w:pPr>
              <w:keepNext/>
              <w:keepLines/>
              <w:spacing w:after="0"/>
              <w:jc w:val="center"/>
              <w:rPr>
                <w:rFonts w:ascii="Arial" w:eastAsia="MS Mincho" w:hAnsi="Arial"/>
                <w:sz w:val="18"/>
              </w:rPr>
            </w:pPr>
            <w:proofErr w:type="spellStart"/>
            <w:r w:rsidRPr="00746C81">
              <w:rPr>
                <w:rFonts w:ascii="Arial" w:eastAsia="MS Mincho" w:hAnsi="Arial"/>
                <w:sz w:val="18"/>
              </w:rPr>
              <w:t>W</w:t>
            </w:r>
            <w:r w:rsidRPr="00746C81">
              <w:rPr>
                <w:rFonts w:ascii="Arial" w:eastAsia="MS Mincho" w:hAnsi="Arial"/>
                <w:sz w:val="18"/>
                <w:vertAlign w:val="subscript"/>
              </w:rPr>
              <w:t>gap</w:t>
            </w:r>
            <w:proofErr w:type="spellEnd"/>
            <w:r w:rsidRPr="00746C81">
              <w:rPr>
                <w:rFonts w:ascii="Arial" w:eastAsia="MS Mincho" w:hAnsi="Arial"/>
                <w:sz w:val="18"/>
              </w:rPr>
              <w:t> = 10.0</w:t>
            </w:r>
          </w:p>
        </w:tc>
        <w:tc>
          <w:tcPr>
            <w:tcW w:w="851" w:type="pct"/>
            <w:tcBorders>
              <w:top w:val="single" w:sz="4" w:space="0" w:color="auto"/>
              <w:left w:val="single" w:sz="4" w:space="0" w:color="auto"/>
              <w:bottom w:val="single" w:sz="4" w:space="0" w:color="auto"/>
              <w:right w:val="single" w:sz="4" w:space="0" w:color="auto"/>
            </w:tcBorders>
            <w:vAlign w:val="center"/>
          </w:tcPr>
          <w:p w14:paraId="2E29AA13" w14:textId="77777777" w:rsidR="008B3CD2" w:rsidRPr="00746C81" w:rsidRDefault="008B3CD2" w:rsidP="00746C81">
            <w:pPr>
              <w:keepNext/>
              <w:keepLines/>
              <w:spacing w:after="0"/>
              <w:jc w:val="center"/>
              <w:rPr>
                <w:rFonts w:ascii="Arial" w:eastAsia="MS Mincho" w:hAnsi="Arial"/>
                <w:sz w:val="18"/>
              </w:rPr>
            </w:pPr>
            <w:r w:rsidRPr="00746C81">
              <w:rPr>
                <w:rFonts w:ascii="Arial" w:eastAsia="MS Mincho" w:hAnsi="Arial"/>
                <w:sz w:val="18"/>
              </w:rPr>
              <w:t>20 (</w:t>
            </w:r>
            <w:proofErr w:type="spellStart"/>
            <w:r w:rsidRPr="00746C81">
              <w:rPr>
                <w:rFonts w:ascii="Arial" w:eastAsia="MS Mincho" w:hAnsi="Arial"/>
                <w:sz w:val="18"/>
              </w:rPr>
              <w:t>RB</w:t>
            </w:r>
            <w:r w:rsidRPr="00746C81">
              <w:rPr>
                <w:rFonts w:ascii="Arial" w:eastAsia="MS Mincho" w:hAnsi="Arial"/>
                <w:sz w:val="18"/>
                <w:vertAlign w:val="subscript"/>
              </w:rPr>
              <w:t>start</w:t>
            </w:r>
            <w:proofErr w:type="spellEnd"/>
            <w:r w:rsidRPr="00746C81">
              <w:rPr>
                <w:rFonts w:ascii="Arial" w:eastAsia="MS Mincho" w:hAnsi="Arial"/>
                <w:sz w:val="18"/>
              </w:rPr>
              <w:t xml:space="preserve"> = 0)</w:t>
            </w:r>
          </w:p>
        </w:tc>
        <w:tc>
          <w:tcPr>
            <w:tcW w:w="395" w:type="pct"/>
            <w:tcBorders>
              <w:top w:val="single" w:sz="4" w:space="0" w:color="auto"/>
              <w:left w:val="single" w:sz="4" w:space="0" w:color="auto"/>
              <w:bottom w:val="single" w:sz="4" w:space="0" w:color="auto"/>
              <w:right w:val="single" w:sz="4" w:space="0" w:color="auto"/>
            </w:tcBorders>
            <w:vAlign w:val="center"/>
          </w:tcPr>
          <w:p w14:paraId="0F6E71F9" w14:textId="7ABFDD1F" w:rsidR="008B3CD2" w:rsidRPr="00746C81" w:rsidRDefault="008B3CD2" w:rsidP="00746C81">
            <w:pPr>
              <w:keepNext/>
              <w:keepLines/>
              <w:spacing w:after="0"/>
              <w:jc w:val="center"/>
              <w:rPr>
                <w:rFonts w:ascii="Arial" w:eastAsia="MS Mincho" w:hAnsi="Arial"/>
                <w:sz w:val="18"/>
              </w:rPr>
            </w:pPr>
            <w:r w:rsidRPr="008B3CD2">
              <w:rPr>
                <w:rFonts w:ascii="Arial" w:eastAsia="MS Mincho" w:hAnsi="Arial"/>
                <w:sz w:val="18"/>
              </w:rPr>
              <w:t>[</w:t>
            </w:r>
            <w:r>
              <w:rPr>
                <w:rFonts w:ascii="Arial" w:eastAsia="MS Mincho" w:hAnsi="Arial"/>
                <w:sz w:val="18"/>
              </w:rPr>
              <w:t>FFS</w:t>
            </w:r>
            <w:r w:rsidRPr="008B3CD2">
              <w:rPr>
                <w:rFonts w:ascii="Arial" w:eastAsia="MS Mincho" w:hAnsi="Arial"/>
                <w:sz w:val="18"/>
              </w:rPr>
              <w:t>]</w:t>
            </w:r>
          </w:p>
        </w:tc>
        <w:tc>
          <w:tcPr>
            <w:tcW w:w="414" w:type="pct"/>
            <w:tcBorders>
              <w:left w:val="single" w:sz="4" w:space="0" w:color="auto"/>
              <w:right w:val="single" w:sz="4" w:space="0" w:color="auto"/>
            </w:tcBorders>
          </w:tcPr>
          <w:p w14:paraId="1F6B2B32" w14:textId="1332A16F" w:rsidR="008B3CD2" w:rsidRPr="00746C81" w:rsidRDefault="008B3CD2" w:rsidP="00746C81">
            <w:pPr>
              <w:keepNext/>
              <w:keepLines/>
              <w:spacing w:after="0"/>
              <w:jc w:val="center"/>
              <w:rPr>
                <w:rFonts w:ascii="Arial" w:eastAsia="MS Mincho" w:hAnsi="Arial"/>
                <w:sz w:val="18"/>
              </w:rPr>
            </w:pPr>
            <w:r>
              <w:rPr>
                <w:rFonts w:ascii="Arial" w:eastAsia="MS Mincho" w:hAnsi="Arial"/>
                <w:sz w:val="18"/>
              </w:rPr>
              <w:t>[FFS]</w:t>
            </w:r>
          </w:p>
        </w:tc>
        <w:tc>
          <w:tcPr>
            <w:tcW w:w="414" w:type="pct"/>
            <w:tcBorders>
              <w:left w:val="single" w:sz="4" w:space="0" w:color="auto"/>
              <w:right w:val="single" w:sz="4" w:space="0" w:color="auto"/>
            </w:tcBorders>
            <w:vAlign w:val="center"/>
          </w:tcPr>
          <w:p w14:paraId="1B17137C" w14:textId="08C5982A" w:rsidR="008B3CD2" w:rsidRPr="00746C81" w:rsidRDefault="008B3CD2" w:rsidP="00746C81">
            <w:pPr>
              <w:keepNext/>
              <w:keepLines/>
              <w:spacing w:after="0"/>
              <w:jc w:val="center"/>
              <w:rPr>
                <w:rFonts w:ascii="Arial" w:eastAsia="MS Mincho" w:hAnsi="Arial"/>
                <w:sz w:val="18"/>
              </w:rPr>
            </w:pPr>
            <w:r w:rsidRPr="00746C81">
              <w:rPr>
                <w:rFonts w:ascii="Arial" w:eastAsia="MS Mincho" w:hAnsi="Arial"/>
                <w:sz w:val="18"/>
              </w:rPr>
              <w:t>FDD</w:t>
            </w:r>
          </w:p>
        </w:tc>
      </w:tr>
      <w:tr w:rsidR="008B3CD2" w:rsidRPr="00746C81" w14:paraId="179263CD" w14:textId="77777777" w:rsidTr="008B3CD2">
        <w:trPr>
          <w:trHeight w:val="20"/>
          <w:jc w:val="center"/>
        </w:trPr>
        <w:tc>
          <w:tcPr>
            <w:tcW w:w="5000" w:type="pct"/>
            <w:gridSpan w:val="8"/>
            <w:tcBorders>
              <w:left w:val="single" w:sz="4" w:space="0" w:color="auto"/>
              <w:right w:val="single" w:sz="4" w:space="0" w:color="auto"/>
            </w:tcBorders>
          </w:tcPr>
          <w:p w14:paraId="4AF5B33A" w14:textId="3D3815EE" w:rsidR="008B3CD2" w:rsidRDefault="008B3CD2" w:rsidP="00746C81">
            <w:pPr>
              <w:keepNext/>
              <w:keepLines/>
              <w:spacing w:after="0"/>
              <w:rPr>
                <w:rFonts w:ascii="Arial" w:eastAsia="MS Mincho" w:hAnsi="Arial"/>
                <w:sz w:val="18"/>
              </w:rPr>
            </w:pPr>
            <w:r w:rsidRPr="00746C81">
              <w:rPr>
                <w:rFonts w:ascii="Arial" w:eastAsia="MS Mincho" w:hAnsi="Arial"/>
                <w:sz w:val="18"/>
                <w:highlight w:val="green"/>
              </w:rPr>
              <w:t xml:space="preserve">NOTE </w:t>
            </w:r>
            <w:r w:rsidRPr="000E5B50">
              <w:rPr>
                <w:rFonts w:ascii="Arial" w:eastAsia="MS Mincho" w:hAnsi="Arial"/>
                <w:sz w:val="18"/>
                <w:highlight w:val="green"/>
              </w:rPr>
              <w:t>X</w:t>
            </w:r>
            <w:r w:rsidRPr="00746C81">
              <w:rPr>
                <w:rFonts w:ascii="Arial" w:eastAsia="MS Mincho" w:hAnsi="Arial"/>
                <w:sz w:val="18"/>
                <w:highlight w:val="green"/>
              </w:rPr>
              <w:t xml:space="preserve">: Applicable </w:t>
            </w:r>
            <w:r w:rsidRPr="000E5B50">
              <w:rPr>
                <w:rFonts w:ascii="Arial" w:eastAsia="MS Mincho" w:hAnsi="Arial"/>
                <w:sz w:val="18"/>
                <w:highlight w:val="green"/>
              </w:rPr>
              <w:t>to UE supporting</w:t>
            </w:r>
            <w:r w:rsidR="00E92DEB" w:rsidRPr="000E5B50">
              <w:rPr>
                <w:rFonts w:ascii="Arial" w:eastAsia="MS Mincho" w:hAnsi="Arial"/>
                <w:sz w:val="18"/>
                <w:highlight w:val="green"/>
              </w:rPr>
              <w:t xml:space="preserve"> PC2 with </w:t>
            </w:r>
            <w:r w:rsidR="007C3229" w:rsidRPr="000E5B50">
              <w:rPr>
                <w:rFonts w:ascii="Arial" w:eastAsia="MS Mincho" w:hAnsi="Arial"/>
                <w:sz w:val="18"/>
                <w:highlight w:val="green"/>
              </w:rPr>
              <w:t>single</w:t>
            </w:r>
            <w:r w:rsidR="00E92DEB" w:rsidRPr="000E5B50">
              <w:rPr>
                <w:rFonts w:ascii="Arial" w:eastAsia="MS Mincho" w:hAnsi="Arial"/>
                <w:sz w:val="18"/>
                <w:highlight w:val="green"/>
              </w:rPr>
              <w:t xml:space="preserve"> Tx</w:t>
            </w:r>
            <w:r w:rsidR="000E5B50" w:rsidRPr="000E5B50">
              <w:rPr>
                <w:rFonts w:ascii="Arial" w:eastAsia="MS Mincho" w:hAnsi="Arial"/>
                <w:sz w:val="18"/>
                <w:highlight w:val="green"/>
              </w:rPr>
              <w:t>.</w:t>
            </w:r>
            <w:r w:rsidR="00E92DEB">
              <w:rPr>
                <w:rFonts w:ascii="Arial" w:eastAsia="MS Mincho" w:hAnsi="Arial"/>
                <w:sz w:val="18"/>
              </w:rPr>
              <w:t xml:space="preserve"> </w:t>
            </w:r>
          </w:p>
          <w:p w14:paraId="7FB32B55" w14:textId="45969753" w:rsidR="008B3CD2" w:rsidRPr="00746C81" w:rsidRDefault="008B3CD2" w:rsidP="00746C81">
            <w:pPr>
              <w:keepNext/>
              <w:keepLines/>
              <w:spacing w:after="0"/>
              <w:rPr>
                <w:rFonts w:ascii="Arial" w:eastAsia="MS Mincho" w:hAnsi="Arial"/>
                <w:sz w:val="18"/>
              </w:rPr>
            </w:pPr>
            <w:r w:rsidRPr="00746C81">
              <w:rPr>
                <w:rFonts w:ascii="Arial" w:eastAsia="MS Mincho" w:hAnsi="Arial"/>
                <w:sz w:val="18"/>
                <w:highlight w:val="green"/>
              </w:rPr>
              <w:t xml:space="preserve">NOTE </w:t>
            </w:r>
            <w:r w:rsidRPr="000E5B50">
              <w:rPr>
                <w:rFonts w:ascii="Arial" w:eastAsia="MS Mincho" w:hAnsi="Arial"/>
                <w:sz w:val="18"/>
                <w:highlight w:val="green"/>
              </w:rPr>
              <w:t>Y</w:t>
            </w:r>
            <w:r w:rsidRPr="00746C81">
              <w:rPr>
                <w:rFonts w:ascii="Arial" w:eastAsia="MS Mincho" w:hAnsi="Arial"/>
                <w:sz w:val="18"/>
                <w:highlight w:val="green"/>
              </w:rPr>
              <w:t xml:space="preserve">: Applicable </w:t>
            </w:r>
            <w:r w:rsidRPr="000E5B50">
              <w:rPr>
                <w:rFonts w:ascii="Arial" w:eastAsia="MS Mincho" w:hAnsi="Arial"/>
                <w:sz w:val="18"/>
                <w:highlight w:val="green"/>
              </w:rPr>
              <w:t>to UE support</w:t>
            </w:r>
            <w:r w:rsidR="00E92DEB" w:rsidRPr="000E5B50">
              <w:rPr>
                <w:rFonts w:ascii="Arial" w:eastAsia="MS Mincho" w:hAnsi="Arial"/>
                <w:sz w:val="18"/>
                <w:highlight w:val="green"/>
              </w:rPr>
              <w:t>ing PC2 with dual Tx</w:t>
            </w:r>
            <w:r w:rsidR="000E5B50" w:rsidRPr="000E5B50">
              <w:rPr>
                <w:rFonts w:ascii="Arial" w:eastAsia="MS Mincho" w:hAnsi="Arial"/>
                <w:sz w:val="18"/>
                <w:highlight w:val="green"/>
              </w:rPr>
              <w:t>.</w:t>
            </w:r>
          </w:p>
        </w:tc>
      </w:tr>
    </w:tbl>
    <w:p w14:paraId="375EF524" w14:textId="77777777" w:rsidR="00746C81" w:rsidRPr="00746C81" w:rsidRDefault="00746C81" w:rsidP="00746C81">
      <w:pPr>
        <w:rPr>
          <w:rFonts w:ascii="Arial" w:hAnsi="Arial" w:cs="Arial"/>
          <w:highlight w:val="green"/>
        </w:rPr>
      </w:pPr>
    </w:p>
    <w:p w14:paraId="1AF05FA0" w14:textId="28917C9A" w:rsidR="002958ED" w:rsidRDefault="00645A62" w:rsidP="00273725">
      <w:pPr>
        <w:rPr>
          <w:rFonts w:ascii="Arial" w:hAnsi="Arial" w:cs="Arial"/>
        </w:rPr>
      </w:pPr>
      <w:r w:rsidRPr="00645A62">
        <w:rPr>
          <w:rFonts w:ascii="Arial" w:hAnsi="Arial" w:cs="Arial"/>
          <w:highlight w:val="green"/>
        </w:rPr>
        <w:t>In TP</w:t>
      </w:r>
      <w:r w:rsidR="000666B3">
        <w:rPr>
          <w:rFonts w:ascii="Arial" w:hAnsi="Arial" w:cs="Arial"/>
          <w:highlight w:val="green"/>
        </w:rPr>
        <w:t>s</w:t>
      </w:r>
      <w:r w:rsidRPr="00645A62">
        <w:rPr>
          <w:rFonts w:ascii="Arial" w:hAnsi="Arial" w:cs="Arial"/>
          <w:highlight w:val="green"/>
        </w:rPr>
        <w:t xml:space="preserve"> for TR, the </w:t>
      </w:r>
      <w:r w:rsidR="00273725">
        <w:rPr>
          <w:rFonts w:ascii="Arial" w:hAnsi="Arial" w:cs="Arial"/>
          <w:highlight w:val="green"/>
        </w:rPr>
        <w:t xml:space="preserve">PC2 </w:t>
      </w:r>
      <w:r w:rsidRPr="00645A62">
        <w:rPr>
          <w:rFonts w:ascii="Arial" w:hAnsi="Arial" w:cs="Arial"/>
          <w:highlight w:val="green"/>
        </w:rPr>
        <w:t>intra-band CA REFSENS should be studied for both 1Tx and 2Tx architectures.</w:t>
      </w:r>
    </w:p>
    <w:p w14:paraId="06DC352D" w14:textId="728E9FEF" w:rsidR="002958ED" w:rsidRPr="00545579" w:rsidRDefault="002958ED" w:rsidP="002958ED">
      <w:pPr>
        <w:keepNext/>
        <w:keepLines/>
        <w:numPr>
          <w:ilvl w:val="0"/>
          <w:numId w:val="3"/>
        </w:numPr>
        <w:pBdr>
          <w:top w:val="single" w:sz="12" w:space="3" w:color="auto"/>
        </w:pBdr>
        <w:overflowPunct w:val="0"/>
        <w:autoSpaceDE w:val="0"/>
        <w:autoSpaceDN w:val="0"/>
        <w:adjustRightInd w:val="0"/>
        <w:spacing w:after="120"/>
        <w:ind w:left="567" w:hanging="567"/>
        <w:textAlignment w:val="baseline"/>
        <w:outlineLvl w:val="0"/>
        <w:rPr>
          <w:rFonts w:ascii="Arial" w:eastAsia="Times New Roman" w:hAnsi="Arial" w:cs="Arial"/>
          <w:sz w:val="36"/>
          <w:lang w:eastAsia="en-GB"/>
        </w:rPr>
      </w:pPr>
      <w:r w:rsidRPr="00547C26">
        <w:rPr>
          <w:rFonts w:ascii="Arial" w:eastAsia="Times New Roman" w:hAnsi="Arial" w:cs="Arial"/>
          <w:sz w:val="36"/>
          <w:lang w:eastAsia="en-GB"/>
        </w:rPr>
        <w:t xml:space="preserve">On </w:t>
      </w:r>
      <w:r>
        <w:rPr>
          <w:rFonts w:ascii="Arial" w:eastAsia="Times New Roman" w:hAnsi="Arial" w:cs="Arial"/>
          <w:sz w:val="36"/>
          <w:lang w:eastAsia="en-GB"/>
        </w:rPr>
        <w:t xml:space="preserve">REFSENS tables for PC2 </w:t>
      </w:r>
      <w:r w:rsidR="00E92CA4">
        <w:rPr>
          <w:rFonts w:ascii="Arial" w:eastAsia="Times New Roman" w:hAnsi="Arial" w:cs="Arial"/>
          <w:sz w:val="36"/>
          <w:lang w:eastAsia="en-GB"/>
        </w:rPr>
        <w:t>I</w:t>
      </w:r>
      <w:r>
        <w:rPr>
          <w:rFonts w:ascii="Arial" w:eastAsia="Times New Roman" w:hAnsi="Arial" w:cs="Arial"/>
          <w:sz w:val="36"/>
          <w:lang w:eastAsia="en-GB"/>
        </w:rPr>
        <w:t>nt</w:t>
      </w:r>
      <w:r w:rsidR="000E5B50">
        <w:rPr>
          <w:rFonts w:ascii="Arial" w:eastAsia="Times New Roman" w:hAnsi="Arial" w:cs="Arial"/>
          <w:sz w:val="36"/>
          <w:lang w:eastAsia="en-GB"/>
        </w:rPr>
        <w:t>er</w:t>
      </w:r>
      <w:r>
        <w:rPr>
          <w:rFonts w:ascii="Arial" w:eastAsia="Times New Roman" w:hAnsi="Arial" w:cs="Arial"/>
          <w:sz w:val="36"/>
          <w:lang w:eastAsia="en-GB"/>
        </w:rPr>
        <w:t>-</w:t>
      </w:r>
      <w:r w:rsidR="00E92CA4">
        <w:rPr>
          <w:rFonts w:ascii="Arial" w:eastAsia="Times New Roman" w:hAnsi="Arial" w:cs="Arial"/>
          <w:sz w:val="36"/>
          <w:lang w:eastAsia="en-GB"/>
        </w:rPr>
        <w:t>B</w:t>
      </w:r>
      <w:r>
        <w:rPr>
          <w:rFonts w:ascii="Arial" w:eastAsia="Times New Roman" w:hAnsi="Arial" w:cs="Arial"/>
          <w:sz w:val="36"/>
          <w:lang w:eastAsia="en-GB"/>
        </w:rPr>
        <w:t>and REFSENS</w:t>
      </w:r>
    </w:p>
    <w:p w14:paraId="48F0C242" w14:textId="40344A84" w:rsidR="002958ED" w:rsidRPr="00547C26" w:rsidRDefault="002958ED" w:rsidP="002958ED">
      <w:pPr>
        <w:pStyle w:val="Heading1"/>
        <w:spacing w:before="0" w:after="120"/>
        <w:rPr>
          <w:rFonts w:cs="Arial"/>
          <w:sz w:val="32"/>
          <w:szCs w:val="18"/>
        </w:rPr>
      </w:pPr>
      <w:r>
        <w:rPr>
          <w:rFonts w:cs="Arial"/>
          <w:sz w:val="32"/>
          <w:szCs w:val="18"/>
        </w:rPr>
        <w:t>4</w:t>
      </w:r>
      <w:r w:rsidRPr="00547C26">
        <w:rPr>
          <w:rFonts w:cs="Arial"/>
          <w:sz w:val="32"/>
          <w:szCs w:val="18"/>
        </w:rPr>
        <w:t xml:space="preserve">.1 </w:t>
      </w:r>
      <w:r w:rsidRPr="00547C26">
        <w:rPr>
          <w:rFonts w:cs="Arial"/>
          <w:sz w:val="32"/>
          <w:szCs w:val="18"/>
        </w:rPr>
        <w:tab/>
        <w:t>Background</w:t>
      </w:r>
    </w:p>
    <w:p w14:paraId="2C5155E5" w14:textId="6757F8D8" w:rsidR="002958ED" w:rsidRDefault="002958ED" w:rsidP="00B36D98">
      <w:pPr>
        <w:jc w:val="both"/>
        <w:rPr>
          <w:rFonts w:ascii="Arial" w:hAnsi="Arial" w:cs="Arial"/>
        </w:rPr>
      </w:pPr>
      <w:r>
        <w:rPr>
          <w:rFonts w:ascii="Arial" w:hAnsi="Arial" w:cs="Arial"/>
        </w:rPr>
        <w:t xml:space="preserve">For inter-band CA, two tables have been introduced for </w:t>
      </w:r>
      <w:r w:rsidR="001F2DFD">
        <w:rPr>
          <w:rFonts w:ascii="Arial" w:hAnsi="Arial" w:cs="Arial"/>
        </w:rPr>
        <w:t xml:space="preserve">PC2 </w:t>
      </w:r>
      <w:r>
        <w:rPr>
          <w:rFonts w:ascii="Arial" w:hAnsi="Arial" w:cs="Arial"/>
        </w:rPr>
        <w:t>MSD due to UL harmonics for CA_n3-n78</w:t>
      </w:r>
      <w:r w:rsidR="001F2DFD">
        <w:rPr>
          <w:rFonts w:ascii="Arial" w:hAnsi="Arial" w:cs="Arial"/>
        </w:rPr>
        <w:t>:</w:t>
      </w:r>
    </w:p>
    <w:p w14:paraId="4759037D" w14:textId="05213CEE" w:rsidR="002958ED" w:rsidRDefault="002958ED" w:rsidP="00B36D98">
      <w:pPr>
        <w:pStyle w:val="ListParagraph"/>
        <w:numPr>
          <w:ilvl w:val="0"/>
          <w:numId w:val="22"/>
        </w:numPr>
        <w:jc w:val="both"/>
        <w:rPr>
          <w:rFonts w:ascii="Arial" w:hAnsi="Arial" w:cs="Arial"/>
        </w:rPr>
      </w:pPr>
      <w:r>
        <w:rPr>
          <w:rFonts w:ascii="Arial" w:hAnsi="Arial" w:cs="Arial"/>
        </w:rPr>
        <w:t>one table to capture the 1x26dBm PC2 REFSENS/MSD (</w:t>
      </w:r>
      <w:r w:rsidRPr="00F62FE7">
        <w:rPr>
          <w:rFonts w:ascii="Arial" w:hAnsi="Arial" w:cs="Arial"/>
        </w:rPr>
        <w:t>Table 7.3A.4-2a</w:t>
      </w:r>
      <w:r>
        <w:rPr>
          <w:rFonts w:ascii="Arial" w:hAnsi="Arial" w:cs="Arial"/>
        </w:rPr>
        <w:t>)</w:t>
      </w:r>
    </w:p>
    <w:p w14:paraId="3CE7AF52" w14:textId="28324D8C" w:rsidR="002958ED" w:rsidRDefault="002958ED" w:rsidP="00B36D98">
      <w:pPr>
        <w:pStyle w:val="ListParagraph"/>
        <w:numPr>
          <w:ilvl w:val="0"/>
          <w:numId w:val="22"/>
        </w:numPr>
        <w:jc w:val="both"/>
        <w:rPr>
          <w:rFonts w:ascii="Arial" w:hAnsi="Arial" w:cs="Arial"/>
        </w:rPr>
      </w:pPr>
      <w:r>
        <w:rPr>
          <w:rFonts w:ascii="Arial" w:hAnsi="Arial" w:cs="Arial"/>
        </w:rPr>
        <w:t xml:space="preserve">one table to capture the </w:t>
      </w:r>
      <w:proofErr w:type="spellStart"/>
      <w:r>
        <w:rPr>
          <w:rFonts w:ascii="Arial" w:hAnsi="Arial" w:cs="Arial"/>
        </w:rPr>
        <w:t>TxD</w:t>
      </w:r>
      <w:proofErr w:type="spellEnd"/>
      <w:r>
        <w:rPr>
          <w:rFonts w:ascii="Arial" w:hAnsi="Arial" w:cs="Arial"/>
        </w:rPr>
        <w:t xml:space="preserve"> 23+23dBm PC2 REFSENS/MSD (</w:t>
      </w:r>
      <w:r w:rsidRPr="00F62FE7">
        <w:rPr>
          <w:rFonts w:ascii="Arial" w:hAnsi="Arial" w:cs="Arial"/>
        </w:rPr>
        <w:t>Table 7.3A.4-2b</w:t>
      </w:r>
      <w:r>
        <w:rPr>
          <w:rFonts w:ascii="Arial" w:hAnsi="Arial" w:cs="Arial"/>
        </w:rPr>
        <w:t>).</w:t>
      </w:r>
    </w:p>
    <w:p w14:paraId="49559150" w14:textId="752A7F6A" w:rsidR="002958ED" w:rsidRDefault="0033201F" w:rsidP="00B36D98">
      <w:pPr>
        <w:jc w:val="both"/>
        <w:rPr>
          <w:rFonts w:ascii="Arial" w:hAnsi="Arial" w:cs="Arial"/>
        </w:rPr>
      </w:pPr>
      <w:r>
        <w:rPr>
          <w:rFonts w:ascii="Arial" w:hAnsi="Arial" w:cs="Arial"/>
        </w:rPr>
        <w:t>With the increas</w:t>
      </w:r>
      <w:r w:rsidR="002C3F79">
        <w:rPr>
          <w:rFonts w:ascii="Arial" w:hAnsi="Arial" w:cs="Arial"/>
        </w:rPr>
        <w:t xml:space="preserve">ing number of inter-band combinations with PC2 FDD bands, it is necessary to ensure that the impact on the TS complexity is minimized. This WF proposes to port </w:t>
      </w:r>
      <w:r w:rsidR="00B36D98">
        <w:rPr>
          <w:rFonts w:ascii="Arial" w:hAnsi="Arial" w:cs="Arial"/>
        </w:rPr>
        <w:t xml:space="preserve">the </w:t>
      </w:r>
      <w:r w:rsidR="002C3F79">
        <w:rPr>
          <w:rFonts w:ascii="Arial" w:hAnsi="Arial" w:cs="Arial"/>
        </w:rPr>
        <w:t>WF2 on intra-band PC2 REFSENS to inter-band CA MSD tables.</w:t>
      </w:r>
    </w:p>
    <w:p w14:paraId="6C39A7CB" w14:textId="2A7B060A" w:rsidR="002C3F79" w:rsidRDefault="002C3F79" w:rsidP="00B36D98">
      <w:pPr>
        <w:jc w:val="both"/>
        <w:rPr>
          <w:rFonts w:ascii="Arial" w:hAnsi="Arial" w:cs="Arial"/>
        </w:rPr>
      </w:pPr>
      <w:r>
        <w:rPr>
          <w:rFonts w:ascii="Arial" w:hAnsi="Arial" w:cs="Arial"/>
        </w:rPr>
        <w:t>It should be noted that for Rel-18, PC2 in an FDD band can only be supported as a single UL configuration for FDD-FDD or FDD-TDD inter-band CA combinations. This is due to 3Tx Rel-18 scope restricted to 2Tx operation on the TDD band.</w:t>
      </w:r>
    </w:p>
    <w:p w14:paraId="6550B792" w14:textId="62CA4916" w:rsidR="0088181C" w:rsidRDefault="0088181C" w:rsidP="00273725">
      <w:pPr>
        <w:rPr>
          <w:rFonts w:ascii="Arial" w:hAnsi="Arial" w:cs="Arial"/>
        </w:rPr>
      </w:pPr>
      <w:r>
        <w:rPr>
          <w:rFonts w:ascii="Arial" w:hAnsi="Arial" w:cs="Arial"/>
        </w:rPr>
        <w:t>Therefore, the scope of this WF is restricted to 1UL MSD tables, namely:</w:t>
      </w:r>
    </w:p>
    <w:p w14:paraId="287B6C3F" w14:textId="6309D3F6" w:rsidR="0088181C" w:rsidRDefault="0088181C" w:rsidP="001F2DFD">
      <w:pPr>
        <w:pStyle w:val="ListParagraph"/>
        <w:numPr>
          <w:ilvl w:val="0"/>
          <w:numId w:val="23"/>
        </w:numPr>
        <w:spacing w:after="120"/>
        <w:rPr>
          <w:rFonts w:ascii="Arial" w:hAnsi="Arial" w:cs="Arial"/>
        </w:rPr>
      </w:pPr>
      <w:r>
        <w:rPr>
          <w:rFonts w:ascii="Arial" w:hAnsi="Arial" w:cs="Arial"/>
        </w:rPr>
        <w:t>MSD due to UL harmonics,</w:t>
      </w:r>
    </w:p>
    <w:p w14:paraId="09E16A12" w14:textId="1D796CD7" w:rsidR="0088181C" w:rsidRDefault="0088181C" w:rsidP="001F2DFD">
      <w:pPr>
        <w:pStyle w:val="ListParagraph"/>
        <w:numPr>
          <w:ilvl w:val="0"/>
          <w:numId w:val="23"/>
        </w:numPr>
        <w:spacing w:after="120"/>
        <w:rPr>
          <w:rFonts w:ascii="Arial" w:hAnsi="Arial" w:cs="Arial"/>
        </w:rPr>
      </w:pPr>
      <w:r>
        <w:rPr>
          <w:rFonts w:ascii="Arial" w:hAnsi="Arial" w:cs="Arial"/>
        </w:rPr>
        <w:t>MSD due to Rx harmonic mixing</w:t>
      </w:r>
    </w:p>
    <w:p w14:paraId="5B3C045F" w14:textId="344A4D4E" w:rsidR="0088181C" w:rsidRDefault="0088181C" w:rsidP="001F2DFD">
      <w:pPr>
        <w:pStyle w:val="ListParagraph"/>
        <w:numPr>
          <w:ilvl w:val="0"/>
          <w:numId w:val="23"/>
        </w:numPr>
        <w:spacing w:after="120"/>
        <w:rPr>
          <w:rFonts w:ascii="Arial" w:hAnsi="Arial" w:cs="Arial"/>
        </w:rPr>
      </w:pPr>
      <w:r>
        <w:rPr>
          <w:rFonts w:ascii="Arial" w:hAnsi="Arial" w:cs="Arial"/>
        </w:rPr>
        <w:t>MSD due to Cross-band isolation.</w:t>
      </w:r>
    </w:p>
    <w:p w14:paraId="0E67464B" w14:textId="5CCDD265" w:rsidR="00DB2C18" w:rsidRPr="00547C26" w:rsidRDefault="00DB2C18" w:rsidP="001F2DFD">
      <w:pPr>
        <w:pStyle w:val="Heading2"/>
        <w:spacing w:after="120"/>
        <w:rPr>
          <w:rFonts w:eastAsia="MS Mincho" w:cs="Arial"/>
          <w:bCs/>
          <w:vertAlign w:val="subscript"/>
        </w:rPr>
      </w:pPr>
      <w:r>
        <w:rPr>
          <w:rFonts w:cs="Arial"/>
        </w:rPr>
        <w:t>4</w:t>
      </w:r>
      <w:r w:rsidRPr="00547C26">
        <w:rPr>
          <w:rFonts w:cs="Arial"/>
        </w:rPr>
        <w:t>.2</w:t>
      </w:r>
      <w:r w:rsidRPr="00547C26">
        <w:rPr>
          <w:rFonts w:cs="Arial"/>
        </w:rPr>
        <w:tab/>
        <w:t xml:space="preserve">Way </w:t>
      </w:r>
      <w:r w:rsidR="007638FF">
        <w:rPr>
          <w:rFonts w:cs="Arial"/>
        </w:rPr>
        <w:t>F</w:t>
      </w:r>
      <w:r w:rsidRPr="00547C26">
        <w:rPr>
          <w:rFonts w:cs="Arial"/>
        </w:rPr>
        <w:t xml:space="preserve">orward on </w:t>
      </w:r>
      <w:r w:rsidR="000E5B50">
        <w:rPr>
          <w:rFonts w:cs="Arial"/>
        </w:rPr>
        <w:t>I</w:t>
      </w:r>
      <w:r>
        <w:rPr>
          <w:rFonts w:cs="Arial"/>
        </w:rPr>
        <w:t>nter-</w:t>
      </w:r>
      <w:r w:rsidR="000E5B50">
        <w:rPr>
          <w:rFonts w:cs="Arial"/>
        </w:rPr>
        <w:t>B</w:t>
      </w:r>
      <w:r>
        <w:rPr>
          <w:rFonts w:cs="Arial"/>
        </w:rPr>
        <w:t xml:space="preserve">and </w:t>
      </w:r>
      <w:r>
        <w:rPr>
          <w:rFonts w:eastAsia="MS Mincho" w:cs="Arial"/>
          <w:bCs/>
        </w:rPr>
        <w:t>REFSENS tables</w:t>
      </w:r>
    </w:p>
    <w:p w14:paraId="50414751" w14:textId="6D14C235" w:rsidR="002C3F79" w:rsidRPr="00645A62" w:rsidRDefault="002C3F79" w:rsidP="002C3F79">
      <w:pPr>
        <w:rPr>
          <w:rFonts w:ascii="Arial" w:hAnsi="Arial" w:cs="Arial"/>
          <w:b/>
          <w:bCs/>
          <w:highlight w:val="green"/>
        </w:rPr>
      </w:pPr>
      <w:r w:rsidRPr="00645A62">
        <w:rPr>
          <w:rFonts w:ascii="Arial" w:hAnsi="Arial" w:cs="Arial"/>
          <w:b/>
          <w:bCs/>
          <w:highlight w:val="green"/>
        </w:rPr>
        <w:t>WF</w:t>
      </w:r>
      <w:r w:rsidR="0088181C">
        <w:rPr>
          <w:rFonts w:ascii="Arial" w:hAnsi="Arial" w:cs="Arial"/>
          <w:b/>
          <w:bCs/>
          <w:highlight w:val="green"/>
        </w:rPr>
        <w:t>3</w:t>
      </w:r>
      <w:r w:rsidRPr="00645A62">
        <w:rPr>
          <w:rFonts w:ascii="Arial" w:hAnsi="Arial" w:cs="Arial"/>
          <w:b/>
          <w:bCs/>
          <w:highlight w:val="green"/>
        </w:rPr>
        <w:t xml:space="preserve"> on int</w:t>
      </w:r>
      <w:r w:rsidR="0088181C">
        <w:rPr>
          <w:rFonts w:ascii="Arial" w:hAnsi="Arial" w:cs="Arial"/>
          <w:b/>
          <w:bCs/>
          <w:highlight w:val="green"/>
        </w:rPr>
        <w:t>er</w:t>
      </w:r>
      <w:r w:rsidRPr="00645A62">
        <w:rPr>
          <w:rFonts w:ascii="Arial" w:hAnsi="Arial" w:cs="Arial"/>
          <w:b/>
          <w:bCs/>
          <w:highlight w:val="green"/>
        </w:rPr>
        <w:t>-band CA REFSENS tables:</w:t>
      </w:r>
    </w:p>
    <w:p w14:paraId="4BE4F61C" w14:textId="106880A5" w:rsidR="000F11B7" w:rsidRDefault="002C3F79" w:rsidP="002C3F79">
      <w:pPr>
        <w:rPr>
          <w:rFonts w:ascii="Arial" w:hAnsi="Arial" w:cs="Arial"/>
          <w:highlight w:val="green"/>
        </w:rPr>
      </w:pPr>
      <w:r w:rsidRPr="002E41CA">
        <w:rPr>
          <w:rFonts w:ascii="Arial" w:hAnsi="Arial" w:cs="Arial"/>
          <w:highlight w:val="green"/>
        </w:rPr>
        <w:t>For int</w:t>
      </w:r>
      <w:r w:rsidR="0088181C">
        <w:rPr>
          <w:rFonts w:ascii="Arial" w:hAnsi="Arial" w:cs="Arial"/>
          <w:highlight w:val="green"/>
        </w:rPr>
        <w:t>er</w:t>
      </w:r>
      <w:r w:rsidRPr="002E41CA">
        <w:rPr>
          <w:rFonts w:ascii="Arial" w:hAnsi="Arial" w:cs="Arial"/>
          <w:highlight w:val="green"/>
        </w:rPr>
        <w:t xml:space="preserve">-band CA, capture </w:t>
      </w:r>
      <w:r w:rsidR="003F4BC4">
        <w:rPr>
          <w:rFonts w:ascii="Arial" w:hAnsi="Arial" w:cs="Arial"/>
          <w:highlight w:val="green"/>
        </w:rPr>
        <w:t xml:space="preserve">the 1Tx and the 2Tx FDD PC2 REFSENS requirements </w:t>
      </w:r>
      <w:r w:rsidR="0088181C">
        <w:rPr>
          <w:rFonts w:ascii="Arial" w:hAnsi="Arial" w:cs="Arial"/>
          <w:highlight w:val="green"/>
        </w:rPr>
        <w:t>into a single table</w:t>
      </w:r>
      <w:r w:rsidR="003F4BC4">
        <w:rPr>
          <w:rFonts w:ascii="Arial" w:hAnsi="Arial" w:cs="Arial"/>
          <w:highlight w:val="green"/>
        </w:rPr>
        <w:t xml:space="preserve"> </w:t>
      </w:r>
      <w:r w:rsidR="000F11B7">
        <w:rPr>
          <w:rFonts w:ascii="Arial" w:hAnsi="Arial" w:cs="Arial"/>
          <w:highlight w:val="green"/>
        </w:rPr>
        <w:t>for:</w:t>
      </w:r>
    </w:p>
    <w:p w14:paraId="2BBBF401" w14:textId="77777777" w:rsidR="000F11B7" w:rsidRDefault="000F11B7" w:rsidP="000F11B7">
      <w:pPr>
        <w:pStyle w:val="ListParagraph"/>
        <w:numPr>
          <w:ilvl w:val="0"/>
          <w:numId w:val="22"/>
        </w:numPr>
        <w:rPr>
          <w:rFonts w:ascii="Arial" w:hAnsi="Arial" w:cs="Arial"/>
          <w:highlight w:val="green"/>
        </w:rPr>
      </w:pPr>
      <w:r>
        <w:rPr>
          <w:rFonts w:ascii="Arial" w:hAnsi="Arial" w:cs="Arial"/>
          <w:highlight w:val="green"/>
        </w:rPr>
        <w:t>MSD due to UL harmonics,</w:t>
      </w:r>
    </w:p>
    <w:p w14:paraId="510B769E" w14:textId="77777777" w:rsidR="000F11B7" w:rsidRDefault="000F11B7" w:rsidP="000F11B7">
      <w:pPr>
        <w:pStyle w:val="ListParagraph"/>
        <w:numPr>
          <w:ilvl w:val="0"/>
          <w:numId w:val="22"/>
        </w:numPr>
        <w:rPr>
          <w:rFonts w:ascii="Arial" w:hAnsi="Arial" w:cs="Arial"/>
          <w:highlight w:val="green"/>
        </w:rPr>
      </w:pPr>
      <w:r>
        <w:rPr>
          <w:rFonts w:ascii="Arial" w:hAnsi="Arial" w:cs="Arial"/>
          <w:highlight w:val="green"/>
        </w:rPr>
        <w:t>MSD due to Rx harmonic mixing</w:t>
      </w:r>
    </w:p>
    <w:p w14:paraId="72A9BA0A" w14:textId="3AA9CCE5" w:rsidR="000F11B7" w:rsidRDefault="000F11B7" w:rsidP="000F11B7">
      <w:pPr>
        <w:pStyle w:val="ListParagraph"/>
        <w:numPr>
          <w:ilvl w:val="0"/>
          <w:numId w:val="22"/>
        </w:numPr>
        <w:rPr>
          <w:rFonts w:ascii="Arial" w:hAnsi="Arial" w:cs="Arial"/>
          <w:highlight w:val="green"/>
        </w:rPr>
      </w:pPr>
      <w:r>
        <w:rPr>
          <w:rFonts w:ascii="Arial" w:hAnsi="Arial" w:cs="Arial"/>
          <w:highlight w:val="green"/>
        </w:rPr>
        <w:t>MSD due to cross-band isolation,</w:t>
      </w:r>
    </w:p>
    <w:p w14:paraId="61463CBB" w14:textId="2DAEF898" w:rsidR="00D952B0" w:rsidRDefault="00CD6A2A" w:rsidP="000F11B7">
      <w:pPr>
        <w:rPr>
          <w:rFonts w:ascii="Arial" w:hAnsi="Arial" w:cs="Arial"/>
          <w:highlight w:val="green"/>
        </w:rPr>
      </w:pPr>
      <w:r>
        <w:rPr>
          <w:rFonts w:ascii="Arial" w:hAnsi="Arial" w:cs="Arial"/>
          <w:highlight w:val="green"/>
        </w:rPr>
        <w:t>T</w:t>
      </w:r>
      <w:r w:rsidR="00D952B0" w:rsidRPr="00D952B0">
        <w:rPr>
          <w:rFonts w:ascii="Arial" w:hAnsi="Arial" w:cs="Arial"/>
          <w:highlight w:val="green"/>
        </w:rPr>
        <w:t xml:space="preserve">he </w:t>
      </w:r>
      <w:r>
        <w:rPr>
          <w:rFonts w:ascii="Arial" w:hAnsi="Arial" w:cs="Arial"/>
          <w:highlight w:val="green"/>
        </w:rPr>
        <w:t xml:space="preserve">PC2 FDD table number uses </w:t>
      </w:r>
      <w:r w:rsidR="00D952B0" w:rsidRPr="00D952B0">
        <w:rPr>
          <w:rFonts w:ascii="Arial" w:hAnsi="Arial" w:cs="Arial"/>
          <w:highlight w:val="green"/>
        </w:rPr>
        <w:t>the PC3 Table number</w:t>
      </w:r>
      <w:r>
        <w:rPr>
          <w:rFonts w:ascii="Arial" w:hAnsi="Arial" w:cs="Arial"/>
          <w:highlight w:val="green"/>
        </w:rPr>
        <w:t xml:space="preserve"> and suffix “</w:t>
      </w:r>
      <w:r w:rsidRPr="00CD6A2A">
        <w:rPr>
          <w:rFonts w:ascii="Arial" w:hAnsi="Arial" w:cs="Arial"/>
          <w:b/>
          <w:bCs/>
          <w:highlight w:val="green"/>
        </w:rPr>
        <w:t>a</w:t>
      </w:r>
      <w:r>
        <w:rPr>
          <w:rFonts w:ascii="Arial" w:hAnsi="Arial" w:cs="Arial"/>
          <w:highlight w:val="green"/>
        </w:rPr>
        <w:t>”.</w:t>
      </w:r>
    </w:p>
    <w:p w14:paraId="68A86C00" w14:textId="2C83AFB1" w:rsidR="00D952B0" w:rsidRPr="000F11B7" w:rsidRDefault="00D952B0" w:rsidP="000F11B7">
      <w:pPr>
        <w:rPr>
          <w:rFonts w:ascii="Arial" w:hAnsi="Arial" w:cs="Arial"/>
          <w:highlight w:val="green"/>
        </w:rPr>
      </w:pPr>
      <w:r>
        <w:rPr>
          <w:rFonts w:ascii="Arial" w:hAnsi="Arial" w:cs="Arial"/>
          <w:highlight w:val="green"/>
        </w:rPr>
        <w:t xml:space="preserve">The </w:t>
      </w:r>
      <w:r w:rsidRPr="00746C81">
        <w:rPr>
          <w:rFonts w:ascii="Arial" w:hAnsi="Arial" w:cs="Arial"/>
          <w:highlight w:val="green"/>
        </w:rPr>
        <w:t>1Tx vs 2Tx MSD test points are distinguished using footnotes</w:t>
      </w:r>
      <w:r w:rsidR="00CD6A2A">
        <w:rPr>
          <w:rFonts w:ascii="Arial" w:hAnsi="Arial" w:cs="Arial"/>
          <w:highlight w:val="green"/>
        </w:rPr>
        <w:t>.</w:t>
      </w:r>
    </w:p>
    <w:p w14:paraId="65F25479" w14:textId="3FD6266B" w:rsidR="000F11B7" w:rsidRDefault="000F11B7" w:rsidP="000F11B7">
      <w:pPr>
        <w:rPr>
          <w:rFonts w:ascii="Arial" w:hAnsi="Arial" w:cs="Arial"/>
          <w:highlight w:val="green"/>
        </w:rPr>
      </w:pPr>
      <w:r w:rsidRPr="000F11B7">
        <w:rPr>
          <w:rFonts w:ascii="Arial" w:hAnsi="Arial" w:cs="Arial"/>
          <w:highlight w:val="green"/>
        </w:rPr>
        <w:t xml:space="preserve">For CA_n3-n78 MSD due to </w:t>
      </w:r>
      <w:r w:rsidR="003F4BC4">
        <w:rPr>
          <w:rFonts w:ascii="Arial" w:hAnsi="Arial" w:cs="Arial"/>
          <w:highlight w:val="green"/>
        </w:rPr>
        <w:t xml:space="preserve">Harmonic interference </w:t>
      </w:r>
      <w:r w:rsidRPr="000F11B7">
        <w:rPr>
          <w:rFonts w:ascii="Arial" w:hAnsi="Arial" w:cs="Arial"/>
          <w:highlight w:val="green"/>
        </w:rPr>
        <w:t xml:space="preserve">UL2/DL1, merge Table 7.3A.4-2a and Table 7.3A.4-2b into </w:t>
      </w:r>
      <w:r w:rsidR="003F4BC4" w:rsidRPr="003F4BC4">
        <w:rPr>
          <w:rFonts w:ascii="Arial" w:hAnsi="Arial" w:cs="Arial"/>
          <w:highlight w:val="green"/>
        </w:rPr>
        <w:t xml:space="preserve">Table 7.3A.4-2a </w:t>
      </w:r>
      <w:r w:rsidRPr="003F4BC4">
        <w:rPr>
          <w:rFonts w:ascii="Arial" w:hAnsi="Arial" w:cs="Arial"/>
          <w:highlight w:val="green"/>
        </w:rPr>
        <w:t>an</w:t>
      </w:r>
      <w:r w:rsidRPr="000F11B7">
        <w:rPr>
          <w:rFonts w:ascii="Arial" w:hAnsi="Arial" w:cs="Arial"/>
          <w:highlight w:val="green"/>
        </w:rPr>
        <w:t xml:space="preserve">d adopt footnotes </w:t>
      </w:r>
      <w:r w:rsidR="00CD6A2A">
        <w:rPr>
          <w:rFonts w:ascii="Arial" w:hAnsi="Arial" w:cs="Arial"/>
          <w:highlight w:val="green"/>
        </w:rPr>
        <w:t xml:space="preserve">“X” and “Y” </w:t>
      </w:r>
      <w:r w:rsidRPr="000F11B7">
        <w:rPr>
          <w:rFonts w:ascii="Arial" w:hAnsi="Arial" w:cs="Arial"/>
          <w:highlight w:val="green"/>
        </w:rPr>
        <w:t>to distinguish 1Tx vs 2Tx MSD.</w:t>
      </w:r>
    </w:p>
    <w:p w14:paraId="6D31DAB8" w14:textId="01BE58E2" w:rsidR="000E5B50" w:rsidRPr="000E5B50" w:rsidRDefault="000E5B50" w:rsidP="000E5B50">
      <w:pPr>
        <w:keepNext/>
        <w:keepLines/>
        <w:overflowPunct w:val="0"/>
        <w:autoSpaceDE w:val="0"/>
        <w:autoSpaceDN w:val="0"/>
        <w:adjustRightInd w:val="0"/>
        <w:spacing w:before="60"/>
        <w:jc w:val="center"/>
        <w:textAlignment w:val="baseline"/>
        <w:rPr>
          <w:rFonts w:ascii="Arial" w:eastAsia="SimSun" w:hAnsi="Arial"/>
          <w:b/>
          <w:lang w:val="en-US" w:eastAsia="zh-CN"/>
        </w:rPr>
      </w:pPr>
      <w:r w:rsidRPr="000E5B50">
        <w:rPr>
          <w:rFonts w:ascii="Arial" w:eastAsia="Times New Roman" w:hAnsi="Arial"/>
          <w:b/>
          <w:lang w:eastAsia="en-GB"/>
        </w:rPr>
        <w:t>Table 7.3A.</w:t>
      </w:r>
      <w:r w:rsidRPr="000E5B50">
        <w:rPr>
          <w:rFonts w:ascii="Arial" w:eastAsia="SimSun" w:hAnsi="Arial"/>
          <w:b/>
          <w:lang w:eastAsia="zh-CN"/>
        </w:rPr>
        <w:t>4</w:t>
      </w:r>
      <w:r w:rsidRPr="000E5B50">
        <w:rPr>
          <w:rFonts w:ascii="Arial" w:eastAsia="Times New Roman" w:hAnsi="Arial"/>
          <w:b/>
          <w:lang w:eastAsia="en-GB"/>
        </w:rPr>
        <w:t>-2</w:t>
      </w:r>
      <w:r w:rsidRPr="000E5B50">
        <w:rPr>
          <w:rFonts w:ascii="Arial" w:eastAsia="SimSun" w:hAnsi="Arial" w:hint="eastAsia"/>
          <w:b/>
          <w:lang w:val="en-US" w:eastAsia="zh-CN"/>
        </w:rPr>
        <w:t>a</w:t>
      </w:r>
      <w:r w:rsidRPr="000E5B50">
        <w:rPr>
          <w:rFonts w:ascii="Arial" w:eastAsia="Times New Roman" w:hAnsi="Arial"/>
          <w:b/>
          <w:lang w:eastAsia="en-GB"/>
        </w:rPr>
        <w:t>: Reference sensitivity exceptions and uplink/downlink configurations due to UL harmonic from a PC2 aggressor NR UL band for NR DL CA FR1</w:t>
      </w:r>
      <w:r w:rsidR="003F4BC4">
        <w:rPr>
          <w:rFonts w:ascii="Arial" w:eastAsia="Times New Roman" w:hAnsi="Arial"/>
          <w:b/>
          <w:lang w:eastAsia="en-GB"/>
        </w:rPr>
        <w:t>.</w:t>
      </w:r>
      <w:r w:rsidRPr="000E5B50">
        <w:rPr>
          <w:rFonts w:ascii="Arial" w:eastAsia="SimSun" w:hAnsi="Arial" w:hint="eastAsia"/>
          <w:b/>
          <w:lang w:val="en-US" w:eastAsia="zh-CN"/>
        </w:rPr>
        <w:t xml:space="preserve"> </w:t>
      </w:r>
      <w:r w:rsidRPr="000E5B50">
        <w:rPr>
          <w:rFonts w:ascii="Arial" w:eastAsia="SimSun" w:hAnsi="Arial" w:hint="eastAsia"/>
          <w:b/>
          <w:strike/>
          <w:highlight w:val="green"/>
          <w:lang w:val="en-US" w:eastAsia="zh-CN"/>
        </w:rPr>
        <w:t>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756"/>
        <w:gridCol w:w="789"/>
        <w:gridCol w:w="875"/>
        <w:gridCol w:w="1573"/>
        <w:gridCol w:w="789"/>
        <w:gridCol w:w="762"/>
        <w:gridCol w:w="762"/>
        <w:gridCol w:w="1258"/>
        <w:gridCol w:w="1310"/>
      </w:tblGrid>
      <w:tr w:rsidR="000E5B50" w:rsidRPr="000E5B50" w14:paraId="0AE47D84" w14:textId="77777777" w:rsidTr="0020291C">
        <w:trPr>
          <w:trHeight w:val="732"/>
          <w:jc w:val="center"/>
        </w:trPr>
        <w:tc>
          <w:tcPr>
            <w:tcW w:w="0" w:type="auto"/>
            <w:vMerge w:val="restart"/>
            <w:vAlign w:val="center"/>
          </w:tcPr>
          <w:p w14:paraId="2CA0C952" w14:textId="77777777" w:rsidR="000E5B50" w:rsidRPr="000E5B50" w:rsidRDefault="000E5B50" w:rsidP="000E5B5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5B50">
              <w:rPr>
                <w:rFonts w:ascii="Arial" w:eastAsia="Times New Roman" w:hAnsi="Arial"/>
                <w:b/>
                <w:sz w:val="18"/>
                <w:lang w:eastAsia="en-GB"/>
              </w:rPr>
              <w:t>UL band</w:t>
            </w:r>
          </w:p>
        </w:tc>
        <w:tc>
          <w:tcPr>
            <w:tcW w:w="0" w:type="auto"/>
            <w:vMerge w:val="restart"/>
            <w:vAlign w:val="center"/>
          </w:tcPr>
          <w:p w14:paraId="2F5807A9" w14:textId="77777777" w:rsidR="000E5B50" w:rsidRPr="000E5B50" w:rsidRDefault="000E5B50" w:rsidP="000E5B5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5B50">
              <w:rPr>
                <w:rFonts w:ascii="Arial" w:eastAsia="Times New Roman" w:hAnsi="Arial"/>
                <w:b/>
                <w:sz w:val="18"/>
                <w:lang w:eastAsia="en-GB"/>
              </w:rPr>
              <w:t>DL band</w:t>
            </w:r>
          </w:p>
        </w:tc>
        <w:tc>
          <w:tcPr>
            <w:tcW w:w="0" w:type="auto"/>
            <w:vAlign w:val="center"/>
          </w:tcPr>
          <w:p w14:paraId="5F2AB310" w14:textId="77777777" w:rsidR="000E5B50" w:rsidRPr="000E5B50" w:rsidRDefault="000E5B50" w:rsidP="000E5B5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5B50">
              <w:rPr>
                <w:rFonts w:ascii="Arial" w:eastAsia="Times New Roman" w:hAnsi="Arial"/>
                <w:b/>
                <w:sz w:val="18"/>
                <w:lang w:eastAsia="en-GB"/>
              </w:rPr>
              <w:t>UL BW</w:t>
            </w:r>
          </w:p>
        </w:tc>
        <w:tc>
          <w:tcPr>
            <w:tcW w:w="0" w:type="auto"/>
            <w:vAlign w:val="center"/>
          </w:tcPr>
          <w:p w14:paraId="04245065" w14:textId="77777777" w:rsidR="000E5B50" w:rsidRPr="000E5B50" w:rsidRDefault="000E5B50" w:rsidP="000E5B5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E5B50">
              <w:rPr>
                <w:rFonts w:ascii="Arial" w:eastAsia="Times New Roman" w:hAnsi="Arial"/>
                <w:b/>
                <w:sz w:val="18"/>
                <w:lang w:eastAsia="zh-CN"/>
              </w:rPr>
              <w:t>SCS of UL band</w:t>
            </w:r>
          </w:p>
        </w:tc>
        <w:tc>
          <w:tcPr>
            <w:tcW w:w="0" w:type="auto"/>
            <w:vAlign w:val="center"/>
          </w:tcPr>
          <w:p w14:paraId="002CF588" w14:textId="77777777" w:rsidR="000E5B50" w:rsidRPr="000E5B50" w:rsidRDefault="000E5B50" w:rsidP="000E5B5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5B50">
              <w:rPr>
                <w:rFonts w:ascii="Arial" w:eastAsia="Times New Roman" w:hAnsi="Arial"/>
                <w:b/>
                <w:sz w:val="18"/>
                <w:lang w:eastAsia="en-GB"/>
              </w:rPr>
              <w:t>UL RB Allocation</w:t>
            </w:r>
          </w:p>
        </w:tc>
        <w:tc>
          <w:tcPr>
            <w:tcW w:w="0" w:type="auto"/>
            <w:vAlign w:val="center"/>
          </w:tcPr>
          <w:p w14:paraId="57D416C8" w14:textId="77777777" w:rsidR="000E5B50" w:rsidRPr="000E5B50" w:rsidRDefault="000E5B50" w:rsidP="000E5B5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5B50">
              <w:rPr>
                <w:rFonts w:ascii="Arial" w:eastAsia="Times New Roman" w:hAnsi="Arial"/>
                <w:b/>
                <w:sz w:val="18"/>
                <w:lang w:eastAsia="en-GB"/>
              </w:rPr>
              <w:t>DL BW</w:t>
            </w:r>
          </w:p>
        </w:tc>
        <w:tc>
          <w:tcPr>
            <w:tcW w:w="0" w:type="auto"/>
            <w:vAlign w:val="center"/>
          </w:tcPr>
          <w:p w14:paraId="7E7ACF38" w14:textId="42045D07" w:rsidR="000E5B50" w:rsidRPr="000E5B50" w:rsidRDefault="000E5B50" w:rsidP="000E5B5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5B50">
              <w:rPr>
                <w:rFonts w:ascii="Arial" w:eastAsia="Times New Roman" w:hAnsi="Arial"/>
                <w:b/>
                <w:sz w:val="18"/>
                <w:lang w:eastAsia="en-GB"/>
              </w:rPr>
              <w:t>MSD</w:t>
            </w:r>
            <w:r w:rsidRPr="000E5B50">
              <w:rPr>
                <w:rFonts w:ascii="Arial" w:eastAsia="Times New Roman" w:hAnsi="Arial"/>
                <w:b/>
                <w:sz w:val="18"/>
                <w:highlight w:val="green"/>
                <w:vertAlign w:val="superscript"/>
                <w:lang w:eastAsia="en-GB"/>
              </w:rPr>
              <w:t>X</w:t>
            </w:r>
          </w:p>
        </w:tc>
        <w:tc>
          <w:tcPr>
            <w:tcW w:w="0" w:type="auto"/>
            <w:vAlign w:val="center"/>
          </w:tcPr>
          <w:p w14:paraId="7BB2027D" w14:textId="651050DC" w:rsidR="000E5B50" w:rsidRPr="000E5B50" w:rsidRDefault="000E5B50" w:rsidP="000E5B5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E5B50">
              <w:rPr>
                <w:rFonts w:ascii="Arial" w:eastAsia="Times New Roman" w:hAnsi="Arial"/>
                <w:b/>
                <w:sz w:val="18"/>
                <w:lang w:eastAsia="en-GB"/>
              </w:rPr>
              <w:t>MSD</w:t>
            </w:r>
            <w:r w:rsidRPr="000E5B50">
              <w:rPr>
                <w:rFonts w:ascii="Arial" w:eastAsia="Times New Roman" w:hAnsi="Arial"/>
                <w:b/>
                <w:sz w:val="18"/>
                <w:highlight w:val="green"/>
                <w:vertAlign w:val="superscript"/>
                <w:lang w:eastAsia="en-GB"/>
              </w:rPr>
              <w:t>Y</w:t>
            </w:r>
          </w:p>
        </w:tc>
        <w:tc>
          <w:tcPr>
            <w:tcW w:w="0" w:type="auto"/>
            <w:vMerge w:val="restart"/>
            <w:vAlign w:val="center"/>
          </w:tcPr>
          <w:p w14:paraId="486C9A65" w14:textId="4E7F10BD" w:rsidR="000E5B50" w:rsidRPr="000E5B50" w:rsidRDefault="000E5B50" w:rsidP="000E5B5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E5B50">
              <w:rPr>
                <w:rFonts w:ascii="Arial" w:eastAsia="Times New Roman" w:hAnsi="Arial"/>
                <w:b/>
                <w:sz w:val="18"/>
                <w:lang w:eastAsia="zh-CN"/>
              </w:rPr>
              <w:t>UL/DL fc condition</w:t>
            </w:r>
          </w:p>
        </w:tc>
        <w:tc>
          <w:tcPr>
            <w:tcW w:w="0" w:type="auto"/>
            <w:vMerge w:val="restart"/>
            <w:vAlign w:val="center"/>
          </w:tcPr>
          <w:p w14:paraId="096BE2B2" w14:textId="77777777" w:rsidR="000E5B50" w:rsidRPr="000E5B50" w:rsidRDefault="000E5B50" w:rsidP="000E5B5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E5B50">
              <w:rPr>
                <w:rFonts w:ascii="Arial" w:eastAsia="Times New Roman" w:hAnsi="Arial"/>
                <w:b/>
                <w:sz w:val="18"/>
                <w:lang w:eastAsia="zh-CN"/>
              </w:rPr>
              <w:t>UL/DL harmonic order</w:t>
            </w:r>
          </w:p>
        </w:tc>
      </w:tr>
      <w:tr w:rsidR="000E5B50" w:rsidRPr="000E5B50" w14:paraId="0734B4F2" w14:textId="77777777" w:rsidTr="0020291C">
        <w:trPr>
          <w:trHeight w:val="492"/>
          <w:jc w:val="center"/>
        </w:trPr>
        <w:tc>
          <w:tcPr>
            <w:tcW w:w="0" w:type="auto"/>
            <w:vMerge/>
            <w:vAlign w:val="center"/>
          </w:tcPr>
          <w:p w14:paraId="7AAFE2ED" w14:textId="77777777" w:rsidR="000E5B50" w:rsidRPr="000E5B50" w:rsidRDefault="000E5B50" w:rsidP="000E5B50">
            <w:pPr>
              <w:overflowPunct w:val="0"/>
              <w:autoSpaceDE w:val="0"/>
              <w:autoSpaceDN w:val="0"/>
              <w:adjustRightInd w:val="0"/>
              <w:spacing w:after="0"/>
              <w:textAlignment w:val="baseline"/>
              <w:rPr>
                <w:rFonts w:ascii="Arial" w:eastAsia="Times New Roman" w:hAnsi="Arial" w:cs="Arial"/>
                <w:b/>
                <w:bCs/>
                <w:sz w:val="18"/>
                <w:szCs w:val="18"/>
                <w:lang w:eastAsia="en-GB"/>
              </w:rPr>
            </w:pPr>
          </w:p>
        </w:tc>
        <w:tc>
          <w:tcPr>
            <w:tcW w:w="0" w:type="auto"/>
            <w:vMerge/>
            <w:vAlign w:val="center"/>
          </w:tcPr>
          <w:p w14:paraId="48A1A438" w14:textId="77777777" w:rsidR="000E5B50" w:rsidRPr="000E5B50" w:rsidRDefault="000E5B50" w:rsidP="000E5B50">
            <w:pPr>
              <w:overflowPunct w:val="0"/>
              <w:autoSpaceDE w:val="0"/>
              <w:autoSpaceDN w:val="0"/>
              <w:adjustRightInd w:val="0"/>
              <w:spacing w:after="0"/>
              <w:textAlignment w:val="baseline"/>
              <w:rPr>
                <w:rFonts w:ascii="Arial" w:eastAsia="Times New Roman" w:hAnsi="Arial" w:cs="Arial"/>
                <w:b/>
                <w:bCs/>
                <w:sz w:val="18"/>
                <w:szCs w:val="18"/>
                <w:lang w:eastAsia="en-GB"/>
              </w:rPr>
            </w:pPr>
          </w:p>
        </w:tc>
        <w:tc>
          <w:tcPr>
            <w:tcW w:w="0" w:type="auto"/>
            <w:vAlign w:val="center"/>
          </w:tcPr>
          <w:p w14:paraId="7C25D793" w14:textId="77777777" w:rsidR="000E5B50" w:rsidRPr="000E5B50" w:rsidRDefault="000E5B50" w:rsidP="000E5B5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5B50">
              <w:rPr>
                <w:rFonts w:ascii="Arial" w:eastAsia="Times New Roman" w:hAnsi="Arial"/>
                <w:b/>
                <w:sz w:val="18"/>
                <w:lang w:eastAsia="en-GB"/>
              </w:rPr>
              <w:t>(MHz)</w:t>
            </w:r>
          </w:p>
        </w:tc>
        <w:tc>
          <w:tcPr>
            <w:tcW w:w="0" w:type="auto"/>
            <w:vAlign w:val="center"/>
          </w:tcPr>
          <w:p w14:paraId="52CC1D6F" w14:textId="77777777" w:rsidR="000E5B50" w:rsidRPr="000E5B50" w:rsidRDefault="000E5B50" w:rsidP="000E5B5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E5B50">
              <w:rPr>
                <w:rFonts w:ascii="Arial" w:eastAsia="Times New Roman" w:hAnsi="Arial"/>
                <w:b/>
                <w:sz w:val="18"/>
                <w:lang w:eastAsia="zh-CN"/>
              </w:rPr>
              <w:t>(kHz)</w:t>
            </w:r>
          </w:p>
        </w:tc>
        <w:tc>
          <w:tcPr>
            <w:tcW w:w="0" w:type="auto"/>
            <w:vAlign w:val="center"/>
          </w:tcPr>
          <w:p w14:paraId="7B920F0D" w14:textId="77777777" w:rsidR="000E5B50" w:rsidRPr="000E5B50" w:rsidRDefault="000E5B50" w:rsidP="000E5B5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5B50">
              <w:rPr>
                <w:rFonts w:ascii="Arial" w:eastAsia="Times New Roman" w:hAnsi="Arial"/>
                <w:b/>
                <w:sz w:val="18"/>
                <w:lang w:eastAsia="en-GB"/>
              </w:rPr>
              <w:t>L</w:t>
            </w:r>
            <w:r w:rsidRPr="000E5B50">
              <w:rPr>
                <w:rFonts w:ascii="Arial" w:eastAsia="Times New Roman" w:hAnsi="Arial"/>
                <w:b/>
                <w:sz w:val="18"/>
                <w:vertAlign w:val="subscript"/>
                <w:lang w:eastAsia="en-GB"/>
              </w:rPr>
              <w:t>CRB</w:t>
            </w:r>
          </w:p>
        </w:tc>
        <w:tc>
          <w:tcPr>
            <w:tcW w:w="0" w:type="auto"/>
            <w:vAlign w:val="center"/>
          </w:tcPr>
          <w:p w14:paraId="2D585CDC" w14:textId="77777777" w:rsidR="000E5B50" w:rsidRPr="000E5B50" w:rsidRDefault="000E5B50" w:rsidP="000E5B5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5B50">
              <w:rPr>
                <w:rFonts w:ascii="Arial" w:eastAsia="Times New Roman" w:hAnsi="Arial"/>
                <w:b/>
                <w:sz w:val="18"/>
                <w:lang w:eastAsia="en-GB"/>
              </w:rPr>
              <w:t>(MHz)</w:t>
            </w:r>
          </w:p>
        </w:tc>
        <w:tc>
          <w:tcPr>
            <w:tcW w:w="0" w:type="auto"/>
            <w:vAlign w:val="center"/>
          </w:tcPr>
          <w:p w14:paraId="31EF3692" w14:textId="77777777" w:rsidR="000E5B50" w:rsidRPr="000E5B50" w:rsidRDefault="000E5B50" w:rsidP="000E5B5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5B50">
              <w:rPr>
                <w:rFonts w:ascii="Arial" w:eastAsia="Times New Roman" w:hAnsi="Arial"/>
                <w:b/>
                <w:sz w:val="18"/>
                <w:lang w:eastAsia="en-GB"/>
              </w:rPr>
              <w:t>(dB)</w:t>
            </w:r>
          </w:p>
        </w:tc>
        <w:tc>
          <w:tcPr>
            <w:tcW w:w="0" w:type="auto"/>
            <w:vAlign w:val="center"/>
          </w:tcPr>
          <w:p w14:paraId="357F64C7" w14:textId="5B69E493" w:rsidR="000E5B50" w:rsidRPr="000E5B50" w:rsidRDefault="000E5B50" w:rsidP="00D94CF9">
            <w:pPr>
              <w:overflowPunct w:val="0"/>
              <w:autoSpaceDE w:val="0"/>
              <w:autoSpaceDN w:val="0"/>
              <w:adjustRightInd w:val="0"/>
              <w:spacing w:after="0"/>
              <w:jc w:val="center"/>
              <w:textAlignment w:val="baseline"/>
              <w:rPr>
                <w:rFonts w:ascii="Arial" w:eastAsia="Times New Roman" w:hAnsi="Arial" w:cs="Arial"/>
                <w:b/>
                <w:bCs/>
                <w:sz w:val="18"/>
                <w:szCs w:val="18"/>
                <w:lang w:eastAsia="zh-CN"/>
              </w:rPr>
            </w:pPr>
            <w:r w:rsidRPr="000E5B50">
              <w:rPr>
                <w:rFonts w:ascii="Arial" w:eastAsia="Times New Roman" w:hAnsi="Arial"/>
                <w:b/>
                <w:sz w:val="18"/>
                <w:lang w:eastAsia="en-GB"/>
              </w:rPr>
              <w:t>(dB)</w:t>
            </w:r>
          </w:p>
        </w:tc>
        <w:tc>
          <w:tcPr>
            <w:tcW w:w="0" w:type="auto"/>
            <w:vMerge/>
            <w:vAlign w:val="center"/>
          </w:tcPr>
          <w:p w14:paraId="410D3FED" w14:textId="771681D3" w:rsidR="000E5B50" w:rsidRPr="000E5B50" w:rsidRDefault="000E5B50" w:rsidP="000E5B50">
            <w:pPr>
              <w:overflowPunct w:val="0"/>
              <w:autoSpaceDE w:val="0"/>
              <w:autoSpaceDN w:val="0"/>
              <w:adjustRightInd w:val="0"/>
              <w:spacing w:after="0"/>
              <w:textAlignment w:val="baseline"/>
              <w:rPr>
                <w:rFonts w:ascii="Arial" w:eastAsia="Times New Roman" w:hAnsi="Arial" w:cs="Arial"/>
                <w:b/>
                <w:bCs/>
                <w:sz w:val="18"/>
                <w:szCs w:val="18"/>
                <w:lang w:eastAsia="zh-CN"/>
              </w:rPr>
            </w:pPr>
          </w:p>
        </w:tc>
        <w:tc>
          <w:tcPr>
            <w:tcW w:w="0" w:type="auto"/>
            <w:vMerge/>
            <w:vAlign w:val="center"/>
          </w:tcPr>
          <w:p w14:paraId="345A4C7A" w14:textId="77777777" w:rsidR="000E5B50" w:rsidRPr="000E5B50" w:rsidRDefault="000E5B50" w:rsidP="000E5B50">
            <w:pPr>
              <w:overflowPunct w:val="0"/>
              <w:autoSpaceDE w:val="0"/>
              <w:autoSpaceDN w:val="0"/>
              <w:adjustRightInd w:val="0"/>
              <w:spacing w:after="0"/>
              <w:textAlignment w:val="baseline"/>
              <w:rPr>
                <w:rFonts w:ascii="Arial" w:eastAsia="Times New Roman" w:hAnsi="Arial" w:cs="Arial"/>
                <w:b/>
                <w:bCs/>
                <w:sz w:val="18"/>
                <w:szCs w:val="18"/>
                <w:lang w:eastAsia="zh-CN"/>
              </w:rPr>
            </w:pPr>
          </w:p>
        </w:tc>
      </w:tr>
      <w:tr w:rsidR="000E5B50" w:rsidRPr="000E5B50" w14:paraId="1861F841" w14:textId="77777777" w:rsidTr="0020291C">
        <w:trPr>
          <w:trHeight w:val="300"/>
          <w:jc w:val="center"/>
        </w:trPr>
        <w:tc>
          <w:tcPr>
            <w:tcW w:w="0" w:type="auto"/>
            <w:vAlign w:val="center"/>
          </w:tcPr>
          <w:p w14:paraId="0C0E6C7A" w14:textId="77777777" w:rsidR="000E5B50" w:rsidRPr="000E5B50" w:rsidRDefault="000E5B50" w:rsidP="000E5B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E5B50">
              <w:rPr>
                <w:rFonts w:ascii="Arial" w:eastAsia="Times New Roman" w:hAnsi="Arial" w:hint="eastAsia"/>
                <w:sz w:val="18"/>
                <w:lang w:eastAsia="zh-CN"/>
              </w:rPr>
              <w:lastRenderedPageBreak/>
              <w:t>n</w:t>
            </w:r>
            <w:r w:rsidRPr="000E5B50">
              <w:rPr>
                <w:rFonts w:ascii="Arial" w:eastAsia="Times New Roman" w:hAnsi="Arial"/>
                <w:sz w:val="18"/>
                <w:lang w:eastAsia="zh-CN"/>
              </w:rPr>
              <w:t>3</w:t>
            </w:r>
          </w:p>
        </w:tc>
        <w:tc>
          <w:tcPr>
            <w:tcW w:w="0" w:type="auto"/>
            <w:vAlign w:val="center"/>
          </w:tcPr>
          <w:p w14:paraId="20643F84" w14:textId="77777777" w:rsidR="000E5B50" w:rsidRPr="000E5B50" w:rsidRDefault="000E5B50" w:rsidP="000E5B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E5B50">
              <w:rPr>
                <w:rFonts w:ascii="Arial" w:eastAsia="Times New Roman" w:hAnsi="Arial" w:hint="eastAsia"/>
                <w:sz w:val="18"/>
                <w:lang w:eastAsia="zh-CN"/>
              </w:rPr>
              <w:t>n</w:t>
            </w:r>
            <w:r w:rsidRPr="000E5B50">
              <w:rPr>
                <w:rFonts w:ascii="Arial" w:eastAsia="Times New Roman" w:hAnsi="Arial"/>
                <w:sz w:val="18"/>
                <w:lang w:eastAsia="zh-CN"/>
              </w:rPr>
              <w:t>78</w:t>
            </w:r>
          </w:p>
        </w:tc>
        <w:tc>
          <w:tcPr>
            <w:tcW w:w="0" w:type="auto"/>
            <w:noWrap/>
            <w:vAlign w:val="center"/>
          </w:tcPr>
          <w:p w14:paraId="40E57176" w14:textId="77777777" w:rsidR="000E5B50" w:rsidRPr="000E5B50" w:rsidRDefault="000E5B50" w:rsidP="000E5B5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E5B50">
              <w:rPr>
                <w:rFonts w:ascii="Arial" w:eastAsia="Times New Roman" w:hAnsi="Arial"/>
                <w:bCs/>
                <w:sz w:val="18"/>
                <w:lang w:eastAsia="zh-CN"/>
              </w:rPr>
              <w:t>5</w:t>
            </w:r>
          </w:p>
        </w:tc>
        <w:tc>
          <w:tcPr>
            <w:tcW w:w="0" w:type="auto"/>
            <w:vAlign w:val="center"/>
          </w:tcPr>
          <w:p w14:paraId="3D3E92C9" w14:textId="77777777" w:rsidR="000E5B50" w:rsidRPr="000E5B50" w:rsidRDefault="000E5B50" w:rsidP="000E5B5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E5B50">
              <w:rPr>
                <w:rFonts w:ascii="Arial" w:eastAsia="Times New Roman" w:hAnsi="Arial"/>
                <w:bCs/>
                <w:sz w:val="18"/>
                <w:lang w:eastAsia="zh-CN"/>
              </w:rPr>
              <w:t>15</w:t>
            </w:r>
          </w:p>
        </w:tc>
        <w:tc>
          <w:tcPr>
            <w:tcW w:w="0" w:type="auto"/>
            <w:noWrap/>
            <w:vAlign w:val="center"/>
          </w:tcPr>
          <w:p w14:paraId="2491F779" w14:textId="77777777" w:rsidR="000E5B50" w:rsidRPr="000E5B50" w:rsidRDefault="000E5B50" w:rsidP="000E5B5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E5B50">
              <w:rPr>
                <w:rFonts w:ascii="Arial" w:eastAsia="Times New Roman" w:hAnsi="Arial"/>
                <w:bCs/>
                <w:sz w:val="18"/>
                <w:lang w:eastAsia="zh-CN"/>
              </w:rPr>
              <w:t>25 (</w:t>
            </w:r>
            <w:proofErr w:type="spellStart"/>
            <w:r w:rsidRPr="000E5B50">
              <w:rPr>
                <w:rFonts w:ascii="Arial" w:eastAsia="Times New Roman" w:hAnsi="Arial"/>
                <w:bCs/>
                <w:sz w:val="18"/>
                <w:lang w:eastAsia="zh-CN"/>
              </w:rPr>
              <w:t>RBstart</w:t>
            </w:r>
            <w:proofErr w:type="spellEnd"/>
            <w:r w:rsidRPr="000E5B50">
              <w:rPr>
                <w:rFonts w:ascii="Arial" w:eastAsia="Times New Roman" w:hAnsi="Arial"/>
                <w:bCs/>
                <w:sz w:val="18"/>
                <w:lang w:eastAsia="zh-CN"/>
              </w:rPr>
              <w:t>=0)</w:t>
            </w:r>
          </w:p>
        </w:tc>
        <w:tc>
          <w:tcPr>
            <w:tcW w:w="0" w:type="auto"/>
            <w:noWrap/>
            <w:vAlign w:val="center"/>
          </w:tcPr>
          <w:p w14:paraId="0ECF9741" w14:textId="77777777" w:rsidR="000E5B50" w:rsidRPr="000E5B50" w:rsidRDefault="000E5B50" w:rsidP="000E5B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E5B50">
              <w:rPr>
                <w:rFonts w:ascii="Arial" w:eastAsia="Times New Roman" w:hAnsi="Arial"/>
                <w:sz w:val="18"/>
                <w:lang w:eastAsia="zh-CN"/>
              </w:rPr>
              <w:t>10</w:t>
            </w:r>
          </w:p>
        </w:tc>
        <w:tc>
          <w:tcPr>
            <w:tcW w:w="0" w:type="auto"/>
            <w:noWrap/>
            <w:vAlign w:val="center"/>
          </w:tcPr>
          <w:p w14:paraId="4CEA583A" w14:textId="77777777" w:rsidR="000E5B50" w:rsidRPr="000E5B50" w:rsidRDefault="000E5B50" w:rsidP="000E5B50">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0E5B50">
              <w:rPr>
                <w:rFonts w:ascii="Arial" w:eastAsia="Times New Roman" w:hAnsi="Arial"/>
                <w:bCs/>
                <w:sz w:val="18"/>
                <w:lang w:eastAsia="zh-CN"/>
              </w:rPr>
              <w:t>2</w:t>
            </w:r>
            <w:r w:rsidRPr="000E5B50">
              <w:rPr>
                <w:rFonts w:ascii="Arial" w:eastAsia="Times New Roman" w:hAnsi="Arial" w:hint="eastAsia"/>
                <w:bCs/>
                <w:sz w:val="18"/>
                <w:lang w:val="en-US" w:eastAsia="zh-CN"/>
              </w:rPr>
              <w:t>7.1</w:t>
            </w:r>
          </w:p>
        </w:tc>
        <w:tc>
          <w:tcPr>
            <w:tcW w:w="0" w:type="auto"/>
            <w:vAlign w:val="center"/>
          </w:tcPr>
          <w:p w14:paraId="780DF45E" w14:textId="0EA0A1F3" w:rsidR="000E5B50" w:rsidRPr="000E5B50" w:rsidRDefault="000E5B50" w:rsidP="000E5B50">
            <w:pPr>
              <w:keepNext/>
              <w:keepLines/>
              <w:overflowPunct w:val="0"/>
              <w:autoSpaceDE w:val="0"/>
              <w:autoSpaceDN w:val="0"/>
              <w:adjustRightInd w:val="0"/>
              <w:spacing w:after="0"/>
              <w:jc w:val="center"/>
              <w:textAlignment w:val="baseline"/>
              <w:rPr>
                <w:rFonts w:ascii="Arial" w:eastAsia="Times New Roman" w:hAnsi="Arial"/>
                <w:bCs/>
                <w:sz w:val="18"/>
                <w:highlight w:val="green"/>
                <w:lang w:eastAsia="zh-CN"/>
              </w:rPr>
            </w:pPr>
            <w:r w:rsidRPr="000E5B50">
              <w:rPr>
                <w:rFonts w:ascii="Arial" w:eastAsia="Times New Roman" w:hAnsi="Arial"/>
                <w:bCs/>
                <w:sz w:val="18"/>
                <w:highlight w:val="green"/>
                <w:lang w:eastAsia="zh-CN"/>
              </w:rPr>
              <w:t>32.3</w:t>
            </w:r>
          </w:p>
        </w:tc>
        <w:tc>
          <w:tcPr>
            <w:tcW w:w="0" w:type="auto"/>
            <w:vAlign w:val="center"/>
          </w:tcPr>
          <w:p w14:paraId="55478B13" w14:textId="7349FA23" w:rsidR="000E5B50" w:rsidRPr="000E5B50" w:rsidRDefault="000E5B50" w:rsidP="000E5B5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E5B50">
              <w:rPr>
                <w:rFonts w:ascii="Arial" w:eastAsia="Times New Roman" w:hAnsi="Arial"/>
                <w:bCs/>
                <w:sz w:val="18"/>
                <w:lang w:eastAsia="zh-CN"/>
              </w:rPr>
              <w:t>NOTE 2</w:t>
            </w:r>
          </w:p>
        </w:tc>
        <w:tc>
          <w:tcPr>
            <w:tcW w:w="0" w:type="auto"/>
            <w:vAlign w:val="center"/>
          </w:tcPr>
          <w:p w14:paraId="34AF4839" w14:textId="77777777" w:rsidR="000E5B50" w:rsidRPr="000E5B50" w:rsidRDefault="000E5B50" w:rsidP="000E5B5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E5B50">
              <w:rPr>
                <w:rFonts w:ascii="Arial" w:eastAsia="Times New Roman" w:hAnsi="Arial"/>
                <w:bCs/>
                <w:sz w:val="18"/>
                <w:lang w:eastAsia="zh-CN"/>
              </w:rPr>
              <w:t>UL2/DL1</w:t>
            </w:r>
          </w:p>
          <w:p w14:paraId="437270E6" w14:textId="77777777" w:rsidR="000E5B50" w:rsidRPr="000E5B50" w:rsidRDefault="000E5B50" w:rsidP="000E5B50">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0E5B50">
              <w:rPr>
                <w:rFonts w:ascii="Arial" w:eastAsia="Times New Roman" w:hAnsi="Arial"/>
                <w:bCs/>
                <w:sz w:val="18"/>
                <w:lang w:eastAsia="zh-CN"/>
              </w:rPr>
              <w:t>direct-hit</w:t>
            </w:r>
            <w:proofErr w:type="gramEnd"/>
          </w:p>
        </w:tc>
      </w:tr>
      <w:tr w:rsidR="000E5B50" w:rsidRPr="000E5B50" w14:paraId="712E7CB9" w14:textId="77777777" w:rsidTr="0020291C">
        <w:trPr>
          <w:trHeight w:val="300"/>
          <w:jc w:val="center"/>
        </w:trPr>
        <w:tc>
          <w:tcPr>
            <w:tcW w:w="0" w:type="auto"/>
            <w:vAlign w:val="center"/>
          </w:tcPr>
          <w:p w14:paraId="017DA125" w14:textId="77777777" w:rsidR="000E5B50" w:rsidRPr="000E5B50" w:rsidRDefault="000E5B50" w:rsidP="000E5B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E5B50">
              <w:rPr>
                <w:rFonts w:ascii="Arial" w:eastAsia="Times New Roman" w:hAnsi="Arial" w:hint="eastAsia"/>
                <w:sz w:val="18"/>
                <w:lang w:eastAsia="zh-CN"/>
              </w:rPr>
              <w:t>n</w:t>
            </w:r>
            <w:r w:rsidRPr="000E5B50">
              <w:rPr>
                <w:rFonts w:ascii="Arial" w:eastAsia="Times New Roman" w:hAnsi="Arial"/>
                <w:sz w:val="18"/>
                <w:lang w:eastAsia="zh-CN"/>
              </w:rPr>
              <w:t>3</w:t>
            </w:r>
          </w:p>
        </w:tc>
        <w:tc>
          <w:tcPr>
            <w:tcW w:w="0" w:type="auto"/>
            <w:vAlign w:val="center"/>
          </w:tcPr>
          <w:p w14:paraId="4B9BBF83" w14:textId="77777777" w:rsidR="000E5B50" w:rsidRPr="000E5B50" w:rsidRDefault="000E5B50" w:rsidP="000E5B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E5B50">
              <w:rPr>
                <w:rFonts w:ascii="Arial" w:eastAsia="Times New Roman" w:hAnsi="Arial" w:hint="eastAsia"/>
                <w:sz w:val="18"/>
                <w:lang w:eastAsia="zh-CN"/>
              </w:rPr>
              <w:t>n</w:t>
            </w:r>
            <w:r w:rsidRPr="000E5B50">
              <w:rPr>
                <w:rFonts w:ascii="Arial" w:eastAsia="Times New Roman" w:hAnsi="Arial"/>
                <w:sz w:val="18"/>
                <w:lang w:eastAsia="zh-CN"/>
              </w:rPr>
              <w:t>78</w:t>
            </w:r>
          </w:p>
        </w:tc>
        <w:tc>
          <w:tcPr>
            <w:tcW w:w="0" w:type="auto"/>
            <w:noWrap/>
            <w:vAlign w:val="center"/>
          </w:tcPr>
          <w:p w14:paraId="310EF1D6" w14:textId="77777777" w:rsidR="000E5B50" w:rsidRPr="000E5B50" w:rsidRDefault="000E5B50" w:rsidP="000E5B5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E5B50">
              <w:rPr>
                <w:rFonts w:ascii="Arial" w:eastAsia="Times New Roman" w:hAnsi="Arial"/>
                <w:bCs/>
                <w:sz w:val="18"/>
                <w:lang w:eastAsia="zh-CN"/>
              </w:rPr>
              <w:t>10</w:t>
            </w:r>
          </w:p>
        </w:tc>
        <w:tc>
          <w:tcPr>
            <w:tcW w:w="0" w:type="auto"/>
            <w:vAlign w:val="center"/>
          </w:tcPr>
          <w:p w14:paraId="25607D9A" w14:textId="77777777" w:rsidR="000E5B50" w:rsidRPr="000E5B50" w:rsidRDefault="000E5B50" w:rsidP="000E5B5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E5B50">
              <w:rPr>
                <w:rFonts w:ascii="Arial" w:eastAsia="Times New Roman" w:hAnsi="Arial"/>
                <w:bCs/>
                <w:sz w:val="18"/>
                <w:lang w:eastAsia="zh-CN"/>
              </w:rPr>
              <w:t>15</w:t>
            </w:r>
          </w:p>
        </w:tc>
        <w:tc>
          <w:tcPr>
            <w:tcW w:w="0" w:type="auto"/>
            <w:noWrap/>
            <w:vAlign w:val="center"/>
          </w:tcPr>
          <w:p w14:paraId="01BF5524" w14:textId="77777777" w:rsidR="000E5B50" w:rsidRPr="000E5B50" w:rsidRDefault="000E5B50" w:rsidP="000E5B5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E5B50">
              <w:rPr>
                <w:rFonts w:ascii="Arial" w:eastAsia="Times New Roman" w:hAnsi="Arial"/>
                <w:bCs/>
                <w:sz w:val="18"/>
                <w:lang w:eastAsia="zh-CN"/>
              </w:rPr>
              <w:t>50 (</w:t>
            </w:r>
            <w:proofErr w:type="spellStart"/>
            <w:r w:rsidRPr="000E5B50">
              <w:rPr>
                <w:rFonts w:ascii="Arial" w:eastAsia="Times New Roman" w:hAnsi="Arial"/>
                <w:bCs/>
                <w:sz w:val="18"/>
                <w:lang w:eastAsia="zh-CN"/>
              </w:rPr>
              <w:t>RBstart</w:t>
            </w:r>
            <w:proofErr w:type="spellEnd"/>
            <w:r w:rsidRPr="000E5B50">
              <w:rPr>
                <w:rFonts w:ascii="Arial" w:eastAsia="Times New Roman" w:hAnsi="Arial"/>
                <w:bCs/>
                <w:sz w:val="18"/>
                <w:lang w:eastAsia="zh-CN"/>
              </w:rPr>
              <w:t>=0)</w:t>
            </w:r>
          </w:p>
        </w:tc>
        <w:tc>
          <w:tcPr>
            <w:tcW w:w="0" w:type="auto"/>
            <w:noWrap/>
            <w:vAlign w:val="center"/>
          </w:tcPr>
          <w:p w14:paraId="2431F18A" w14:textId="77777777" w:rsidR="000E5B50" w:rsidRPr="000E5B50" w:rsidRDefault="000E5B50" w:rsidP="000E5B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E5B50">
              <w:rPr>
                <w:rFonts w:ascii="Arial" w:eastAsia="Times New Roman" w:hAnsi="Arial"/>
                <w:sz w:val="18"/>
                <w:lang w:eastAsia="zh-CN"/>
              </w:rPr>
              <w:t>100</w:t>
            </w:r>
          </w:p>
        </w:tc>
        <w:tc>
          <w:tcPr>
            <w:tcW w:w="0" w:type="auto"/>
            <w:noWrap/>
            <w:vAlign w:val="center"/>
          </w:tcPr>
          <w:p w14:paraId="2B0BFC19" w14:textId="77777777" w:rsidR="000E5B50" w:rsidRPr="000E5B50" w:rsidRDefault="000E5B50" w:rsidP="000E5B50">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0E5B50">
              <w:rPr>
                <w:rFonts w:ascii="Arial" w:eastAsia="Times New Roman" w:hAnsi="Arial"/>
                <w:bCs/>
                <w:sz w:val="18"/>
                <w:lang w:eastAsia="zh-CN"/>
              </w:rPr>
              <w:t>1</w:t>
            </w:r>
            <w:r w:rsidRPr="000E5B50">
              <w:rPr>
                <w:rFonts w:ascii="Arial" w:eastAsia="Times New Roman" w:hAnsi="Arial" w:hint="eastAsia"/>
                <w:bCs/>
                <w:sz w:val="18"/>
                <w:lang w:val="en-US" w:eastAsia="zh-CN"/>
              </w:rPr>
              <w:t>6.6</w:t>
            </w:r>
          </w:p>
        </w:tc>
        <w:tc>
          <w:tcPr>
            <w:tcW w:w="0" w:type="auto"/>
            <w:vAlign w:val="center"/>
          </w:tcPr>
          <w:p w14:paraId="12EC7BDD" w14:textId="68E68B99" w:rsidR="000E5B50" w:rsidRPr="000E5B50" w:rsidRDefault="00D94CF9" w:rsidP="000E5B50">
            <w:pPr>
              <w:keepNext/>
              <w:keepLines/>
              <w:overflowPunct w:val="0"/>
              <w:autoSpaceDE w:val="0"/>
              <w:autoSpaceDN w:val="0"/>
              <w:adjustRightInd w:val="0"/>
              <w:spacing w:after="0"/>
              <w:jc w:val="center"/>
              <w:textAlignment w:val="baseline"/>
              <w:rPr>
                <w:rFonts w:ascii="Arial" w:eastAsia="Times New Roman" w:hAnsi="Arial"/>
                <w:bCs/>
                <w:sz w:val="18"/>
                <w:highlight w:val="green"/>
                <w:lang w:eastAsia="zh-CN"/>
              </w:rPr>
            </w:pPr>
            <w:r>
              <w:rPr>
                <w:rFonts w:ascii="Arial" w:eastAsia="Times New Roman" w:hAnsi="Arial"/>
                <w:bCs/>
                <w:sz w:val="18"/>
                <w:highlight w:val="green"/>
                <w:lang w:eastAsia="zh-CN"/>
              </w:rPr>
              <w:t>N/A</w:t>
            </w:r>
          </w:p>
        </w:tc>
        <w:tc>
          <w:tcPr>
            <w:tcW w:w="0" w:type="auto"/>
            <w:vAlign w:val="center"/>
          </w:tcPr>
          <w:p w14:paraId="05D32812" w14:textId="4A64AA77" w:rsidR="000E5B50" w:rsidRPr="000E5B50" w:rsidRDefault="000E5B50" w:rsidP="000E5B5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E5B50">
              <w:rPr>
                <w:rFonts w:ascii="Arial" w:eastAsia="Times New Roman" w:hAnsi="Arial"/>
                <w:bCs/>
                <w:sz w:val="18"/>
                <w:lang w:eastAsia="zh-CN"/>
              </w:rPr>
              <w:t>NOTE 2</w:t>
            </w:r>
          </w:p>
        </w:tc>
        <w:tc>
          <w:tcPr>
            <w:tcW w:w="0" w:type="auto"/>
            <w:vAlign w:val="center"/>
          </w:tcPr>
          <w:p w14:paraId="10B4FDFA" w14:textId="77777777" w:rsidR="000E5B50" w:rsidRPr="000E5B50" w:rsidRDefault="000E5B50" w:rsidP="000E5B5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E5B50">
              <w:rPr>
                <w:rFonts w:ascii="Arial" w:eastAsia="Times New Roman" w:hAnsi="Arial"/>
                <w:bCs/>
                <w:sz w:val="18"/>
                <w:lang w:eastAsia="zh-CN"/>
              </w:rPr>
              <w:t>UL2/DL1</w:t>
            </w:r>
          </w:p>
          <w:p w14:paraId="0A802595" w14:textId="77777777" w:rsidR="000E5B50" w:rsidRPr="000E5B50" w:rsidRDefault="000E5B50" w:rsidP="000E5B50">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0E5B50">
              <w:rPr>
                <w:rFonts w:ascii="Arial" w:eastAsia="Times New Roman" w:hAnsi="Arial"/>
                <w:bCs/>
                <w:sz w:val="18"/>
                <w:lang w:eastAsia="zh-CN"/>
              </w:rPr>
              <w:t>direct-hit</w:t>
            </w:r>
            <w:proofErr w:type="gramEnd"/>
          </w:p>
        </w:tc>
      </w:tr>
      <w:tr w:rsidR="000E5B50" w:rsidRPr="000E5B50" w14:paraId="36216DA3" w14:textId="77777777" w:rsidTr="00160313">
        <w:trPr>
          <w:trHeight w:val="300"/>
          <w:jc w:val="center"/>
        </w:trPr>
        <w:tc>
          <w:tcPr>
            <w:tcW w:w="0" w:type="auto"/>
            <w:gridSpan w:val="10"/>
          </w:tcPr>
          <w:p w14:paraId="394FCDCA" w14:textId="77777777" w:rsidR="000E5B50" w:rsidRDefault="000E5B50" w:rsidP="000E5B5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E5B50">
              <w:rPr>
                <w:rFonts w:ascii="Arial" w:eastAsia="Times New Roman" w:hAnsi="Arial"/>
                <w:sz w:val="18"/>
                <w:lang w:eastAsia="ja-JP"/>
              </w:rPr>
              <w:t>NOTE 2:</w:t>
            </w:r>
            <w:r w:rsidRPr="000E5B50">
              <w:rPr>
                <w:rFonts w:ascii="Arial" w:eastAsia="Times New Roman" w:hAnsi="Arial"/>
                <w:sz w:val="18"/>
                <w:lang w:eastAsia="ja-JP"/>
              </w:rPr>
              <w:tab/>
              <w:t xml:space="preserve">The requirements should be verified for UL NR-ARFCN of the aggressor (high) band (superscript HB) such that </w:t>
            </w:r>
            <w:r w:rsidRPr="000E5B50">
              <w:rPr>
                <w:rFonts w:ascii="Arial" w:eastAsia="Times New Roman" w:hAnsi="Arial"/>
                <w:sz w:val="18"/>
                <w:lang w:eastAsia="ja-JP"/>
              </w:rPr>
              <w:object w:dxaOrig="1560" w:dyaOrig="231" w14:anchorId="0B4244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8pt;height:10.2pt" o:ole="">
                  <v:imagedata r:id="rId11" o:title=""/>
                </v:shape>
                <o:OLEObject Type="Embed" ProgID="Equation.3" ShapeID="_x0000_i1025" DrawAspect="Content" ObjectID="_1770789774" r:id="rId12"/>
              </w:object>
            </w:r>
            <w:r w:rsidRPr="000E5B50">
              <w:rPr>
                <w:rFonts w:ascii="Arial" w:eastAsia="Times New Roman" w:hAnsi="Arial"/>
                <w:sz w:val="18"/>
                <w:lang w:eastAsia="ja-JP"/>
              </w:rPr>
              <w:t xml:space="preserve">in MHz and </w:t>
            </w:r>
            <w:r w:rsidRPr="000E5B50">
              <w:rPr>
                <w:rFonts w:ascii="Arial" w:eastAsia="Times New Roman" w:hAnsi="Arial"/>
                <w:sz w:val="18"/>
                <w:lang w:eastAsia="ja-JP"/>
              </w:rPr>
              <w:object w:dxaOrig="4080" w:dyaOrig="231" w14:anchorId="084BA080">
                <v:shape id="_x0000_i1026" type="#_x0000_t75" style="width:204pt;height:10.2pt" o:ole="">
                  <v:imagedata r:id="rId13" o:title=""/>
                </v:shape>
                <o:OLEObject Type="Embed" ProgID="Equation.3" ShapeID="_x0000_i1026" DrawAspect="Content" ObjectID="_1770789775" r:id="rId14"/>
              </w:object>
            </w:r>
            <w:r w:rsidRPr="000E5B50">
              <w:rPr>
                <w:rFonts w:ascii="Arial" w:eastAsia="Times New Roman" w:hAnsi="Arial"/>
                <w:sz w:val="18"/>
                <w:lang w:eastAsia="ja-JP"/>
              </w:rPr>
              <w:t xml:space="preserve"> with</w:t>
            </w:r>
            <w:r w:rsidRPr="000E5B50">
              <w:rPr>
                <w:rFonts w:ascii="Arial" w:eastAsia="Times New Roman" w:hAnsi="Arial"/>
                <w:sz w:val="18"/>
                <w:lang w:eastAsia="ja-JP"/>
              </w:rPr>
              <w:object w:dxaOrig="231" w:dyaOrig="231" w14:anchorId="5858FD7B">
                <v:shape id="_x0000_i1027" type="#_x0000_t75" style="width:10.2pt;height:10.2pt" o:ole="">
                  <v:imagedata r:id="rId15" o:title=""/>
                </v:shape>
                <o:OLEObject Type="Embed" ProgID="Equation.3" ShapeID="_x0000_i1027" DrawAspect="Content" ObjectID="_1770789776" r:id="rId16"/>
              </w:object>
            </w:r>
            <w:r w:rsidRPr="000E5B50">
              <w:rPr>
                <w:rFonts w:ascii="Arial" w:eastAsia="Times New Roman" w:hAnsi="Arial"/>
                <w:sz w:val="18"/>
                <w:lang w:eastAsia="ja-JP"/>
              </w:rPr>
              <w:t xml:space="preserve"> carrier frequency in the victim (lower) band in MHz and </w:t>
            </w:r>
            <w:r w:rsidRPr="000E5B50">
              <w:rPr>
                <w:rFonts w:ascii="Arial" w:eastAsia="Times New Roman" w:hAnsi="Arial"/>
                <w:sz w:val="18"/>
                <w:lang w:eastAsia="ja-JP"/>
              </w:rPr>
              <w:object w:dxaOrig="720" w:dyaOrig="231" w14:anchorId="69012D40">
                <v:shape id="_x0000_i1028" type="#_x0000_t75" style="width:36.6pt;height:10.2pt" o:ole="">
                  <v:imagedata r:id="rId17" o:title=""/>
                </v:shape>
                <o:OLEObject Type="Embed" ProgID="Equation.3" ShapeID="_x0000_i1028" DrawAspect="Content" ObjectID="_1770789777" r:id="rId18"/>
              </w:object>
            </w:r>
            <w:r w:rsidRPr="000E5B50">
              <w:rPr>
                <w:rFonts w:ascii="Arial" w:eastAsia="Times New Roman" w:hAnsi="Arial"/>
                <w:sz w:val="18"/>
                <w:lang w:eastAsia="ja-JP"/>
              </w:rPr>
              <w:t xml:space="preserve"> the channel bandwidth configured in the higher band.</w:t>
            </w:r>
          </w:p>
          <w:p w14:paraId="6CE94E5D" w14:textId="29F0C040" w:rsidR="000E5B50" w:rsidRPr="000E5B50" w:rsidRDefault="000E5B50" w:rsidP="000E5B50">
            <w:pPr>
              <w:keepNext/>
              <w:keepLines/>
              <w:overflowPunct w:val="0"/>
              <w:autoSpaceDE w:val="0"/>
              <w:autoSpaceDN w:val="0"/>
              <w:adjustRightInd w:val="0"/>
              <w:spacing w:after="0"/>
              <w:ind w:left="851" w:hanging="851"/>
              <w:textAlignment w:val="baseline"/>
              <w:rPr>
                <w:rFonts w:ascii="Arial" w:eastAsia="Times New Roman" w:hAnsi="Arial"/>
                <w:sz w:val="18"/>
                <w:highlight w:val="green"/>
                <w:lang w:eastAsia="ja-JP"/>
              </w:rPr>
            </w:pPr>
            <w:r w:rsidRPr="000E5B50">
              <w:rPr>
                <w:rFonts w:ascii="Arial" w:eastAsia="Times New Roman" w:hAnsi="Arial"/>
                <w:sz w:val="18"/>
                <w:highlight w:val="green"/>
                <w:lang w:eastAsia="ja-JP"/>
              </w:rPr>
              <w:t xml:space="preserve">NOTE X:  Applicable to UE supporting PC2 with single Tx. </w:t>
            </w:r>
          </w:p>
          <w:p w14:paraId="1F73BCDF" w14:textId="140C32E4" w:rsidR="000E5B50" w:rsidRPr="000E5B50" w:rsidRDefault="000E5B50" w:rsidP="000E5B50">
            <w:pPr>
              <w:keepNext/>
              <w:keepLines/>
              <w:overflowPunct w:val="0"/>
              <w:autoSpaceDE w:val="0"/>
              <w:autoSpaceDN w:val="0"/>
              <w:adjustRightInd w:val="0"/>
              <w:spacing w:after="0"/>
              <w:ind w:left="851" w:hanging="851"/>
              <w:textAlignment w:val="baseline"/>
              <w:rPr>
                <w:rFonts w:ascii="Arial" w:eastAsia="Times New Roman" w:hAnsi="Arial"/>
                <w:bCs/>
                <w:sz w:val="18"/>
                <w:szCs w:val="18"/>
                <w:lang w:eastAsia="zh-CN"/>
              </w:rPr>
            </w:pPr>
            <w:r w:rsidRPr="000E5B50">
              <w:rPr>
                <w:rFonts w:ascii="Arial" w:eastAsia="Times New Roman" w:hAnsi="Arial"/>
                <w:sz w:val="18"/>
                <w:highlight w:val="green"/>
                <w:lang w:eastAsia="ja-JP"/>
              </w:rPr>
              <w:t>NOTE Y:  Applicable to UE supporting PC2 with dual Tx.</w:t>
            </w:r>
          </w:p>
        </w:tc>
      </w:tr>
    </w:tbl>
    <w:p w14:paraId="3B77C9A7" w14:textId="77777777" w:rsidR="000E5B50" w:rsidRPr="000E5B50" w:rsidRDefault="000E5B50" w:rsidP="000E5B50">
      <w:pPr>
        <w:overflowPunct w:val="0"/>
        <w:autoSpaceDE w:val="0"/>
        <w:autoSpaceDN w:val="0"/>
        <w:adjustRightInd w:val="0"/>
        <w:textAlignment w:val="baseline"/>
        <w:rPr>
          <w:rFonts w:eastAsia="Times New Roman"/>
          <w:lang w:eastAsia="en-GB"/>
        </w:rPr>
      </w:pPr>
    </w:p>
    <w:p w14:paraId="53317149" w14:textId="226D4B9A" w:rsidR="007638FF" w:rsidRPr="00545579" w:rsidRDefault="007638FF" w:rsidP="007638FF">
      <w:pPr>
        <w:keepNext/>
        <w:keepLines/>
        <w:numPr>
          <w:ilvl w:val="0"/>
          <w:numId w:val="3"/>
        </w:numPr>
        <w:pBdr>
          <w:top w:val="single" w:sz="12" w:space="3" w:color="auto"/>
        </w:pBdr>
        <w:overflowPunct w:val="0"/>
        <w:autoSpaceDE w:val="0"/>
        <w:autoSpaceDN w:val="0"/>
        <w:adjustRightInd w:val="0"/>
        <w:spacing w:after="120"/>
        <w:ind w:left="567" w:hanging="567"/>
        <w:textAlignment w:val="baseline"/>
        <w:outlineLvl w:val="0"/>
        <w:rPr>
          <w:rFonts w:ascii="Arial" w:eastAsia="Times New Roman" w:hAnsi="Arial" w:cs="Arial"/>
          <w:sz w:val="36"/>
          <w:lang w:eastAsia="en-GB"/>
        </w:rPr>
      </w:pPr>
      <w:r w:rsidRPr="00547C26">
        <w:rPr>
          <w:rFonts w:ascii="Arial" w:eastAsia="Times New Roman" w:hAnsi="Arial" w:cs="Arial"/>
          <w:sz w:val="36"/>
          <w:lang w:eastAsia="en-GB"/>
        </w:rPr>
        <w:t xml:space="preserve">On </w:t>
      </w:r>
      <w:r>
        <w:rPr>
          <w:rFonts w:ascii="Arial" w:eastAsia="Times New Roman" w:hAnsi="Arial" w:cs="Arial"/>
          <w:sz w:val="36"/>
          <w:lang w:eastAsia="en-GB"/>
        </w:rPr>
        <w:t>evaluating 2Tx MSD</w:t>
      </w:r>
    </w:p>
    <w:p w14:paraId="4E48CFD1" w14:textId="539FC253" w:rsidR="007638FF" w:rsidRPr="00547C26" w:rsidRDefault="007638FF" w:rsidP="007638FF">
      <w:pPr>
        <w:pStyle w:val="Heading1"/>
        <w:spacing w:before="0" w:after="120"/>
        <w:rPr>
          <w:rFonts w:cs="Arial"/>
          <w:sz w:val="32"/>
          <w:szCs w:val="18"/>
        </w:rPr>
      </w:pPr>
      <w:r>
        <w:rPr>
          <w:rFonts w:cs="Arial"/>
          <w:sz w:val="32"/>
          <w:szCs w:val="18"/>
        </w:rPr>
        <w:t>5</w:t>
      </w:r>
      <w:r w:rsidRPr="00547C26">
        <w:rPr>
          <w:rFonts w:cs="Arial"/>
          <w:sz w:val="32"/>
          <w:szCs w:val="18"/>
        </w:rPr>
        <w:t xml:space="preserve">.1 </w:t>
      </w:r>
      <w:r w:rsidRPr="00547C26">
        <w:rPr>
          <w:rFonts w:cs="Arial"/>
          <w:sz w:val="32"/>
          <w:szCs w:val="18"/>
        </w:rPr>
        <w:tab/>
        <w:t>Background</w:t>
      </w:r>
    </w:p>
    <w:p w14:paraId="78121F44" w14:textId="77CA502B" w:rsidR="007638FF" w:rsidRDefault="007638FF" w:rsidP="001F2DFD">
      <w:pPr>
        <w:spacing w:after="120"/>
        <w:jc w:val="both"/>
        <w:rPr>
          <w:rFonts w:ascii="Arial" w:hAnsi="Arial" w:cs="Arial"/>
        </w:rPr>
      </w:pPr>
      <w:r>
        <w:rPr>
          <w:rFonts w:ascii="Arial" w:hAnsi="Arial" w:cs="Arial"/>
        </w:rPr>
        <w:t xml:space="preserve">Evaluation of the impact of 2Tx PA to PA reverse coupling is challenging to simulate or calculate. In many cases, measurements are needed to evaluate the impact of 2Tx architecture on MSD. TP for TRs are not complete without 2Tx MSD analysis. For 2Tx MSD analyses, MRC combining is severely impacted due to interference level being nearly equal on the primary and on the diversity antenna port. Hence, guidelines are needed to help proponents complete the MSD analyses for PC2 FDD bands. </w:t>
      </w:r>
    </w:p>
    <w:p w14:paraId="77174FDB" w14:textId="533C9241" w:rsidR="007638FF" w:rsidRPr="00547C26" w:rsidRDefault="007638FF" w:rsidP="001F2DFD">
      <w:pPr>
        <w:pStyle w:val="Heading2"/>
        <w:spacing w:after="120"/>
        <w:rPr>
          <w:rFonts w:eastAsia="MS Mincho" w:cs="Arial"/>
          <w:bCs/>
          <w:vertAlign w:val="subscript"/>
        </w:rPr>
      </w:pPr>
      <w:r>
        <w:rPr>
          <w:rFonts w:cs="Arial"/>
        </w:rPr>
        <w:t>5</w:t>
      </w:r>
      <w:r w:rsidRPr="00547C26">
        <w:rPr>
          <w:rFonts w:cs="Arial"/>
        </w:rPr>
        <w:t>.2</w:t>
      </w:r>
      <w:r w:rsidRPr="00547C26">
        <w:rPr>
          <w:rFonts w:cs="Arial"/>
        </w:rPr>
        <w:tab/>
        <w:t xml:space="preserve">Way </w:t>
      </w:r>
      <w:r>
        <w:rPr>
          <w:rFonts w:cs="Arial"/>
        </w:rPr>
        <w:t>F</w:t>
      </w:r>
      <w:r w:rsidRPr="00547C26">
        <w:rPr>
          <w:rFonts w:cs="Arial"/>
        </w:rPr>
        <w:t xml:space="preserve">orward on </w:t>
      </w:r>
      <w:r>
        <w:rPr>
          <w:rFonts w:cs="Arial"/>
        </w:rPr>
        <w:t>evaluating 2Tx MSD</w:t>
      </w:r>
    </w:p>
    <w:p w14:paraId="3B5B453B" w14:textId="6B4CDE06" w:rsidR="007638FF" w:rsidRPr="007638FF" w:rsidRDefault="00CE480D" w:rsidP="000F11B7">
      <w:pPr>
        <w:rPr>
          <w:rFonts w:ascii="Arial" w:hAnsi="Arial" w:cs="Arial"/>
        </w:rPr>
      </w:pPr>
      <w:r w:rsidRPr="00CE480D">
        <w:rPr>
          <w:rFonts w:ascii="Arial" w:hAnsi="Arial" w:cs="Arial"/>
          <w:b/>
          <w:bCs/>
          <w:highlight w:val="green"/>
        </w:rPr>
        <w:t>WF4:</w:t>
      </w:r>
      <w:r w:rsidRPr="00CE480D">
        <w:rPr>
          <w:rFonts w:ascii="Arial" w:hAnsi="Arial" w:cs="Arial"/>
          <w:highlight w:val="green"/>
        </w:rPr>
        <w:t xml:space="preserve"> For PC2 FDD, interested c</w:t>
      </w:r>
      <w:r w:rsidR="007638FF" w:rsidRPr="00CE480D">
        <w:rPr>
          <w:rFonts w:ascii="Arial" w:hAnsi="Arial" w:cs="Arial"/>
          <w:highlight w:val="green"/>
        </w:rPr>
        <w:t>ompanies are encouraged to bring guidelines to</w:t>
      </w:r>
      <w:r w:rsidR="003F4BC4">
        <w:rPr>
          <w:rFonts w:ascii="Arial" w:hAnsi="Arial" w:cs="Arial"/>
          <w:highlight w:val="green"/>
        </w:rPr>
        <w:t xml:space="preserve"> </w:t>
      </w:r>
      <w:r w:rsidR="007638FF" w:rsidRPr="00CE480D">
        <w:rPr>
          <w:rFonts w:ascii="Arial" w:hAnsi="Arial" w:cs="Arial"/>
          <w:highlight w:val="green"/>
        </w:rPr>
        <w:t>simplify 2Tx MSD analyses.</w:t>
      </w:r>
    </w:p>
    <w:p w14:paraId="6681C2AE" w14:textId="77777777" w:rsidR="00545579" w:rsidRPr="00545579" w:rsidRDefault="00545579" w:rsidP="001F2DFD">
      <w:pPr>
        <w:keepNext/>
        <w:keepLines/>
        <w:numPr>
          <w:ilvl w:val="0"/>
          <w:numId w:val="3"/>
        </w:numPr>
        <w:pBdr>
          <w:top w:val="single" w:sz="12" w:space="3" w:color="auto"/>
        </w:pBdr>
        <w:overflowPunct w:val="0"/>
        <w:autoSpaceDE w:val="0"/>
        <w:autoSpaceDN w:val="0"/>
        <w:adjustRightInd w:val="0"/>
        <w:spacing w:before="240" w:after="120"/>
        <w:ind w:left="567" w:hanging="567"/>
        <w:textAlignment w:val="baseline"/>
        <w:outlineLvl w:val="0"/>
        <w:rPr>
          <w:rFonts w:ascii="Arial" w:eastAsia="Times New Roman" w:hAnsi="Arial" w:cs="Arial"/>
          <w:sz w:val="36"/>
          <w:lang w:eastAsia="en-GB"/>
        </w:rPr>
      </w:pPr>
      <w:r w:rsidRPr="00545579">
        <w:rPr>
          <w:rFonts w:ascii="Arial" w:eastAsia="Times New Roman" w:hAnsi="Arial" w:cs="Arial"/>
          <w:sz w:val="36"/>
          <w:lang w:eastAsia="en-GB"/>
        </w:rPr>
        <w:t>References</w:t>
      </w:r>
    </w:p>
    <w:p w14:paraId="4B711648" w14:textId="77777777" w:rsidR="008D16AE" w:rsidRDefault="008D16AE" w:rsidP="008D16AE">
      <w:pPr>
        <w:pStyle w:val="EX"/>
        <w:keepLines w:val="0"/>
        <w:numPr>
          <w:ilvl w:val="0"/>
          <w:numId w:val="0"/>
        </w:numPr>
        <w:tabs>
          <w:tab w:val="clear" w:pos="369"/>
        </w:tabs>
        <w:ind w:left="564" w:hanging="564"/>
        <w:rPr>
          <w:rFonts w:ascii="Arial" w:hAnsi="Arial" w:cs="Arial"/>
          <w:bCs/>
        </w:rPr>
      </w:pPr>
      <w:r>
        <w:rPr>
          <w:rFonts w:ascii="Arial" w:hAnsi="Arial" w:cs="Arial"/>
          <w:bCs/>
        </w:rPr>
        <w:t>[1]</w:t>
      </w:r>
      <w:r>
        <w:rPr>
          <w:rFonts w:ascii="Arial" w:hAnsi="Arial" w:cs="Arial"/>
          <w:bCs/>
        </w:rPr>
        <w:tab/>
      </w:r>
      <w:r>
        <w:rPr>
          <w:rFonts w:ascii="Arial" w:hAnsi="Arial" w:cs="Arial"/>
          <w:bCs/>
        </w:rPr>
        <w:tab/>
      </w:r>
      <w:r w:rsidRPr="006045C9">
        <w:rPr>
          <w:rFonts w:ascii="Arial" w:hAnsi="Arial" w:cs="Arial"/>
          <w:bCs/>
        </w:rPr>
        <w:t>R4-2400365</w:t>
      </w:r>
      <w:r>
        <w:rPr>
          <w:rFonts w:ascii="Arial" w:hAnsi="Arial" w:cs="Arial"/>
          <w:bCs/>
        </w:rPr>
        <w:t xml:space="preserve">, </w:t>
      </w:r>
      <w:r w:rsidRPr="006045C9">
        <w:rPr>
          <w:rFonts w:ascii="Arial" w:hAnsi="Arial" w:cs="Arial"/>
          <w:bCs/>
        </w:rPr>
        <w:t>PC2 CA_n71(2A) MSD</w:t>
      </w:r>
      <w:r>
        <w:rPr>
          <w:rFonts w:ascii="Arial" w:hAnsi="Arial" w:cs="Arial"/>
          <w:bCs/>
        </w:rPr>
        <w:t xml:space="preserve">, </w:t>
      </w:r>
      <w:r w:rsidRPr="006045C9">
        <w:rPr>
          <w:rFonts w:ascii="Arial" w:hAnsi="Arial" w:cs="Arial"/>
          <w:bCs/>
        </w:rPr>
        <w:t>3GPP TSG-RAN WG4 Meeting #110, Athens, Greece, Skyworks Solutions Inc.</w:t>
      </w:r>
    </w:p>
    <w:p w14:paraId="06DAFD6C" w14:textId="386DAA8A" w:rsidR="006045C9" w:rsidRPr="00547C26" w:rsidRDefault="008D16AE" w:rsidP="008D16AE">
      <w:pPr>
        <w:pStyle w:val="EX"/>
        <w:keepLines w:val="0"/>
        <w:numPr>
          <w:ilvl w:val="0"/>
          <w:numId w:val="0"/>
        </w:numPr>
        <w:tabs>
          <w:tab w:val="clear" w:pos="369"/>
        </w:tabs>
        <w:ind w:left="564" w:hanging="564"/>
        <w:rPr>
          <w:rFonts w:ascii="Arial" w:hAnsi="Arial" w:cs="Arial"/>
          <w:bCs/>
        </w:rPr>
      </w:pPr>
      <w:r>
        <w:rPr>
          <w:rFonts w:ascii="Arial" w:hAnsi="Arial" w:cs="Arial"/>
          <w:bCs/>
        </w:rPr>
        <w:t>[2]</w:t>
      </w:r>
      <w:r>
        <w:rPr>
          <w:rFonts w:ascii="Arial" w:hAnsi="Arial" w:cs="Arial"/>
          <w:bCs/>
        </w:rPr>
        <w:tab/>
      </w:r>
      <w:r>
        <w:rPr>
          <w:rFonts w:ascii="Arial" w:hAnsi="Arial" w:cs="Arial"/>
          <w:bCs/>
        </w:rPr>
        <w:tab/>
      </w:r>
      <w:r w:rsidRPr="006045C9">
        <w:rPr>
          <w:rFonts w:ascii="Arial" w:hAnsi="Arial" w:cs="Arial"/>
          <w:bCs/>
        </w:rPr>
        <w:t>R4-240036</w:t>
      </w:r>
      <w:r>
        <w:rPr>
          <w:rFonts w:ascii="Arial" w:hAnsi="Arial" w:cs="Arial"/>
          <w:bCs/>
        </w:rPr>
        <w:t xml:space="preserve">6, </w:t>
      </w:r>
      <w:r w:rsidRPr="006045C9">
        <w:rPr>
          <w:rFonts w:ascii="Arial" w:hAnsi="Arial" w:cs="Arial"/>
          <w:bCs/>
        </w:rPr>
        <w:t>PC2 CA_n71B BCS4-5 MSD</w:t>
      </w:r>
      <w:r>
        <w:rPr>
          <w:rFonts w:ascii="Arial" w:hAnsi="Arial" w:cs="Arial"/>
          <w:bCs/>
        </w:rPr>
        <w:t xml:space="preserve">, </w:t>
      </w:r>
      <w:r w:rsidRPr="006045C9">
        <w:rPr>
          <w:rFonts w:ascii="Arial" w:hAnsi="Arial" w:cs="Arial"/>
          <w:bCs/>
        </w:rPr>
        <w:t>3GPP TSG-RAN WG4 Meeting #110, Athens, Greece, Skyworks Solutions Inc.</w:t>
      </w:r>
    </w:p>
    <w:sectPr w:rsidR="006045C9" w:rsidRPr="00547C26">
      <w:headerReference w:type="default" r:id="rId19"/>
      <w:footnotePr>
        <w:numRestart w:val="eachSect"/>
      </w:footnotePr>
      <w:pgSz w:w="11907" w:h="16840"/>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97B69" w14:textId="77777777" w:rsidR="00721B7C" w:rsidRDefault="00721B7C">
      <w:pPr>
        <w:spacing w:after="0"/>
      </w:pPr>
      <w:r>
        <w:separator/>
      </w:r>
    </w:p>
  </w:endnote>
  <w:endnote w:type="continuationSeparator" w:id="0">
    <w:p w14:paraId="325E8CA4" w14:textId="77777777" w:rsidR="00721B7C" w:rsidRDefault="00721B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2C639" w14:textId="77777777" w:rsidR="00721B7C" w:rsidRDefault="00721B7C">
      <w:pPr>
        <w:spacing w:after="0"/>
      </w:pPr>
      <w:r>
        <w:separator/>
      </w:r>
    </w:p>
  </w:footnote>
  <w:footnote w:type="continuationSeparator" w:id="0">
    <w:p w14:paraId="17FCD06A" w14:textId="77777777" w:rsidR="00721B7C" w:rsidRDefault="00721B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482AC" w14:textId="3EFF78D4" w:rsidR="007B6528" w:rsidRDefault="00F257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7F4F">
      <w:rPr>
        <w:rFonts w:ascii="Arial" w:hAnsi="Arial" w:cs="Arial"/>
        <w:b/>
        <w:noProof/>
        <w:sz w:val="18"/>
        <w:szCs w:val="18"/>
      </w:rPr>
      <w:t>2</w:t>
    </w:r>
    <w:r>
      <w:rPr>
        <w:rFonts w:ascii="Arial" w:hAnsi="Arial" w:cs="Arial"/>
        <w:b/>
        <w:sz w:val="18"/>
        <w:szCs w:val="18"/>
      </w:rPr>
      <w:fldChar w:fldCharType="end"/>
    </w:r>
  </w:p>
  <w:p w14:paraId="56A5D839" w14:textId="77777777" w:rsidR="007B6528" w:rsidRDefault="007B65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4B6420"/>
    <w:multiLevelType w:val="hybridMultilevel"/>
    <w:tmpl w:val="53986038"/>
    <w:lvl w:ilvl="0" w:tplc="8734430A">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59595C"/>
    <w:multiLevelType w:val="hybridMultilevel"/>
    <w:tmpl w:val="B1E418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BA3993"/>
    <w:multiLevelType w:val="multilevel"/>
    <w:tmpl w:val="0DBA3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E576D1"/>
    <w:multiLevelType w:val="hybridMultilevel"/>
    <w:tmpl w:val="EEF49B04"/>
    <w:lvl w:ilvl="0" w:tplc="780A8E3C">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D3109F"/>
    <w:multiLevelType w:val="multilevel"/>
    <w:tmpl w:val="14D310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Arial" w:hAnsi="Arial"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4FE03D3"/>
    <w:multiLevelType w:val="hybridMultilevel"/>
    <w:tmpl w:val="D3F87694"/>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00C6E"/>
    <w:multiLevelType w:val="multilevel"/>
    <w:tmpl w:val="18300C6E"/>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DA1518A"/>
    <w:multiLevelType w:val="multilevel"/>
    <w:tmpl w:val="0F0C99D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2F4188"/>
    <w:multiLevelType w:val="multilevel"/>
    <w:tmpl w:val="BF1AD4A4"/>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53F190B"/>
    <w:multiLevelType w:val="multilevel"/>
    <w:tmpl w:val="8D1AC4D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7B09B6"/>
    <w:multiLevelType w:val="multilevel"/>
    <w:tmpl w:val="1BEC85A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7130BEF"/>
    <w:multiLevelType w:val="hybridMultilevel"/>
    <w:tmpl w:val="EC701654"/>
    <w:lvl w:ilvl="0" w:tplc="780A8E3C">
      <w:start w:val="1"/>
      <w:numFmt w:val="bullet"/>
      <w:lvlText w:val="-"/>
      <w:lvlJc w:val="left"/>
      <w:pPr>
        <w:ind w:left="775" w:hanging="360"/>
      </w:pPr>
      <w:rPr>
        <w:rFonts w:ascii="Times New Roman" w:hAnsi="Times New Roman" w:cs="Times New Roman"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5" w15:restartNumberingAfterBreak="0">
    <w:nsid w:val="415D4556"/>
    <w:multiLevelType w:val="hybridMultilevel"/>
    <w:tmpl w:val="71DED634"/>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C963CD"/>
    <w:multiLevelType w:val="hybridMultilevel"/>
    <w:tmpl w:val="8B42E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8A010C"/>
    <w:multiLevelType w:val="hybridMultilevel"/>
    <w:tmpl w:val="D56C124A"/>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B83FBC"/>
    <w:multiLevelType w:val="multilevel"/>
    <w:tmpl w:val="74CC4076"/>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157788B"/>
    <w:multiLevelType w:val="multilevel"/>
    <w:tmpl w:val="6B88B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DD52862"/>
    <w:multiLevelType w:val="multilevel"/>
    <w:tmpl w:val="9FD63F4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56923327">
    <w:abstractNumId w:val="1"/>
  </w:num>
  <w:num w:numId="2" w16cid:durableId="194470951">
    <w:abstractNumId w:val="4"/>
  </w:num>
  <w:num w:numId="3" w16cid:durableId="255596088">
    <w:abstractNumId w:val="9"/>
  </w:num>
  <w:num w:numId="4" w16cid:durableId="2044674993">
    <w:abstractNumId w:val="13"/>
  </w:num>
  <w:num w:numId="5" w16cid:durableId="1450314572">
    <w:abstractNumId w:val="7"/>
  </w:num>
  <w:num w:numId="6" w16cid:durableId="1107578758">
    <w:abstractNumId w:val="21"/>
  </w:num>
  <w:num w:numId="7" w16cid:durableId="1972588271">
    <w:abstractNumId w:val="18"/>
  </w:num>
  <w:num w:numId="8" w16cid:durableId="1400589344">
    <w:abstractNumId w:val="12"/>
  </w:num>
  <w:num w:numId="9" w16cid:durableId="1501117299">
    <w:abstractNumId w:val="10"/>
  </w:num>
  <w:num w:numId="10" w16cid:durableId="146282890">
    <w:abstractNumId w:val="19"/>
  </w:num>
  <w:num w:numId="11" w16cid:durableId="1902981327">
    <w:abstractNumId w:val="1"/>
  </w:num>
  <w:num w:numId="12" w16cid:durableId="1876655795">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16cid:durableId="735392872">
    <w:abstractNumId w:val="20"/>
  </w:num>
  <w:num w:numId="14" w16cid:durableId="414861259">
    <w:abstractNumId w:val="11"/>
  </w:num>
  <w:num w:numId="15" w16cid:durableId="812061522">
    <w:abstractNumId w:val="6"/>
  </w:num>
  <w:num w:numId="16" w16cid:durableId="1925185752">
    <w:abstractNumId w:val="16"/>
  </w:num>
  <w:num w:numId="17" w16cid:durableId="59909015">
    <w:abstractNumId w:val="3"/>
  </w:num>
  <w:num w:numId="18" w16cid:durableId="678897304">
    <w:abstractNumId w:val="2"/>
  </w:num>
  <w:num w:numId="19" w16cid:durableId="1431927716">
    <w:abstractNumId w:val="8"/>
  </w:num>
  <w:num w:numId="20" w16cid:durableId="211769070">
    <w:abstractNumId w:val="14"/>
  </w:num>
  <w:num w:numId="21" w16cid:durableId="1745450655">
    <w:abstractNumId w:val="5"/>
  </w:num>
  <w:num w:numId="22" w16cid:durableId="753278075">
    <w:abstractNumId w:val="17"/>
  </w:num>
  <w:num w:numId="23" w16cid:durableId="194926526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76A"/>
    <w:rsid w:val="000058CA"/>
    <w:rsid w:val="00005E55"/>
    <w:rsid w:val="0000623D"/>
    <w:rsid w:val="000109CF"/>
    <w:rsid w:val="00011106"/>
    <w:rsid w:val="00013E09"/>
    <w:rsid w:val="00014516"/>
    <w:rsid w:val="000202FB"/>
    <w:rsid w:val="00020AC9"/>
    <w:rsid w:val="00026F78"/>
    <w:rsid w:val="00030984"/>
    <w:rsid w:val="000322FE"/>
    <w:rsid w:val="00033397"/>
    <w:rsid w:val="00040095"/>
    <w:rsid w:val="00042AA1"/>
    <w:rsid w:val="00045A0E"/>
    <w:rsid w:val="00045CE2"/>
    <w:rsid w:val="00047B82"/>
    <w:rsid w:val="00051834"/>
    <w:rsid w:val="00054529"/>
    <w:rsid w:val="000545B8"/>
    <w:rsid w:val="00054A22"/>
    <w:rsid w:val="00056F12"/>
    <w:rsid w:val="00057D4C"/>
    <w:rsid w:val="0006193A"/>
    <w:rsid w:val="00062023"/>
    <w:rsid w:val="000655A6"/>
    <w:rsid w:val="000666B3"/>
    <w:rsid w:val="0006704A"/>
    <w:rsid w:val="00072973"/>
    <w:rsid w:val="000742F4"/>
    <w:rsid w:val="0007441A"/>
    <w:rsid w:val="0007497D"/>
    <w:rsid w:val="00080512"/>
    <w:rsid w:val="00086E51"/>
    <w:rsid w:val="000909F7"/>
    <w:rsid w:val="0009222E"/>
    <w:rsid w:val="00092E3F"/>
    <w:rsid w:val="000940D3"/>
    <w:rsid w:val="000A0C3B"/>
    <w:rsid w:val="000A1D9B"/>
    <w:rsid w:val="000A2421"/>
    <w:rsid w:val="000A2AC4"/>
    <w:rsid w:val="000A365D"/>
    <w:rsid w:val="000A68F3"/>
    <w:rsid w:val="000B3335"/>
    <w:rsid w:val="000B3DD6"/>
    <w:rsid w:val="000B44F7"/>
    <w:rsid w:val="000B505F"/>
    <w:rsid w:val="000B541D"/>
    <w:rsid w:val="000B61A8"/>
    <w:rsid w:val="000B61FB"/>
    <w:rsid w:val="000C47C3"/>
    <w:rsid w:val="000C4943"/>
    <w:rsid w:val="000C4E9E"/>
    <w:rsid w:val="000D4D29"/>
    <w:rsid w:val="000D58AB"/>
    <w:rsid w:val="000D6E67"/>
    <w:rsid w:val="000D6F30"/>
    <w:rsid w:val="000E1A37"/>
    <w:rsid w:val="000E312D"/>
    <w:rsid w:val="000E431A"/>
    <w:rsid w:val="000E4B3C"/>
    <w:rsid w:val="000E5B50"/>
    <w:rsid w:val="000E5C81"/>
    <w:rsid w:val="000E647C"/>
    <w:rsid w:val="000F060B"/>
    <w:rsid w:val="000F11B7"/>
    <w:rsid w:val="000F7FD3"/>
    <w:rsid w:val="000F7FDF"/>
    <w:rsid w:val="001007A7"/>
    <w:rsid w:val="00101DA5"/>
    <w:rsid w:val="00104BC6"/>
    <w:rsid w:val="001064E6"/>
    <w:rsid w:val="00114E2C"/>
    <w:rsid w:val="0011502F"/>
    <w:rsid w:val="00117BAA"/>
    <w:rsid w:val="0012047E"/>
    <w:rsid w:val="00121103"/>
    <w:rsid w:val="00133525"/>
    <w:rsid w:val="00133B37"/>
    <w:rsid w:val="00135936"/>
    <w:rsid w:val="00135FBA"/>
    <w:rsid w:val="00137580"/>
    <w:rsid w:val="0013765A"/>
    <w:rsid w:val="00152AC8"/>
    <w:rsid w:val="001548CC"/>
    <w:rsid w:val="00155765"/>
    <w:rsid w:val="00156DED"/>
    <w:rsid w:val="0015779C"/>
    <w:rsid w:val="00161EBB"/>
    <w:rsid w:val="001622BE"/>
    <w:rsid w:val="0016297E"/>
    <w:rsid w:val="0016611C"/>
    <w:rsid w:val="0016695B"/>
    <w:rsid w:val="00166B5C"/>
    <w:rsid w:val="00167AFC"/>
    <w:rsid w:val="00174B6D"/>
    <w:rsid w:val="0017523B"/>
    <w:rsid w:val="00175655"/>
    <w:rsid w:val="001763F4"/>
    <w:rsid w:val="001766F8"/>
    <w:rsid w:val="00181118"/>
    <w:rsid w:val="001823B6"/>
    <w:rsid w:val="001841B1"/>
    <w:rsid w:val="00186300"/>
    <w:rsid w:val="00192A73"/>
    <w:rsid w:val="00192EC3"/>
    <w:rsid w:val="0019300D"/>
    <w:rsid w:val="0019668A"/>
    <w:rsid w:val="0019744A"/>
    <w:rsid w:val="001977DA"/>
    <w:rsid w:val="001A0650"/>
    <w:rsid w:val="001A286D"/>
    <w:rsid w:val="001A410D"/>
    <w:rsid w:val="001A4C42"/>
    <w:rsid w:val="001A5CC7"/>
    <w:rsid w:val="001B04E8"/>
    <w:rsid w:val="001B1FD6"/>
    <w:rsid w:val="001B3C76"/>
    <w:rsid w:val="001C21C3"/>
    <w:rsid w:val="001C2DA9"/>
    <w:rsid w:val="001C2FE2"/>
    <w:rsid w:val="001C5802"/>
    <w:rsid w:val="001D02C2"/>
    <w:rsid w:val="001D1470"/>
    <w:rsid w:val="001D3D68"/>
    <w:rsid w:val="001D4E53"/>
    <w:rsid w:val="001D5A17"/>
    <w:rsid w:val="001D6A40"/>
    <w:rsid w:val="001D7AF6"/>
    <w:rsid w:val="001E1F19"/>
    <w:rsid w:val="001E3AE8"/>
    <w:rsid w:val="001E5B43"/>
    <w:rsid w:val="001E5CB6"/>
    <w:rsid w:val="001E76DE"/>
    <w:rsid w:val="001F05A2"/>
    <w:rsid w:val="001F0C1D"/>
    <w:rsid w:val="001F1132"/>
    <w:rsid w:val="001F168B"/>
    <w:rsid w:val="001F1D06"/>
    <w:rsid w:val="001F2DFD"/>
    <w:rsid w:val="001F3009"/>
    <w:rsid w:val="001F55D5"/>
    <w:rsid w:val="001F7DCD"/>
    <w:rsid w:val="001F7EF0"/>
    <w:rsid w:val="0020216A"/>
    <w:rsid w:val="00204648"/>
    <w:rsid w:val="002047AF"/>
    <w:rsid w:val="00206978"/>
    <w:rsid w:val="0020766A"/>
    <w:rsid w:val="002119C8"/>
    <w:rsid w:val="00213121"/>
    <w:rsid w:val="00216B81"/>
    <w:rsid w:val="00217CDE"/>
    <w:rsid w:val="00220CBC"/>
    <w:rsid w:val="002242B0"/>
    <w:rsid w:val="00232B38"/>
    <w:rsid w:val="00233648"/>
    <w:rsid w:val="002347A2"/>
    <w:rsid w:val="0023673C"/>
    <w:rsid w:val="0024096B"/>
    <w:rsid w:val="002433C7"/>
    <w:rsid w:val="002434E8"/>
    <w:rsid w:val="00243A51"/>
    <w:rsid w:val="002450A4"/>
    <w:rsid w:val="00247926"/>
    <w:rsid w:val="00251DDD"/>
    <w:rsid w:val="00261B7C"/>
    <w:rsid w:val="0026424E"/>
    <w:rsid w:val="002675F0"/>
    <w:rsid w:val="0027160A"/>
    <w:rsid w:val="00271C96"/>
    <w:rsid w:val="00271FE1"/>
    <w:rsid w:val="00272514"/>
    <w:rsid w:val="00273725"/>
    <w:rsid w:val="00275D9D"/>
    <w:rsid w:val="00276EE4"/>
    <w:rsid w:val="00280162"/>
    <w:rsid w:val="002811B9"/>
    <w:rsid w:val="00281B62"/>
    <w:rsid w:val="00282015"/>
    <w:rsid w:val="00284AE0"/>
    <w:rsid w:val="00285645"/>
    <w:rsid w:val="002915C9"/>
    <w:rsid w:val="002946A1"/>
    <w:rsid w:val="002958ED"/>
    <w:rsid w:val="002973C9"/>
    <w:rsid w:val="00297D96"/>
    <w:rsid w:val="002A1942"/>
    <w:rsid w:val="002A2140"/>
    <w:rsid w:val="002A2A03"/>
    <w:rsid w:val="002A4482"/>
    <w:rsid w:val="002A57D0"/>
    <w:rsid w:val="002B2E81"/>
    <w:rsid w:val="002B3652"/>
    <w:rsid w:val="002B471B"/>
    <w:rsid w:val="002B49FA"/>
    <w:rsid w:val="002B5F5A"/>
    <w:rsid w:val="002B6339"/>
    <w:rsid w:val="002C3F79"/>
    <w:rsid w:val="002C41D4"/>
    <w:rsid w:val="002C5D28"/>
    <w:rsid w:val="002C6382"/>
    <w:rsid w:val="002C69EE"/>
    <w:rsid w:val="002C7667"/>
    <w:rsid w:val="002D2FB2"/>
    <w:rsid w:val="002D61E3"/>
    <w:rsid w:val="002D61F5"/>
    <w:rsid w:val="002D6E4D"/>
    <w:rsid w:val="002E00EE"/>
    <w:rsid w:val="002E3933"/>
    <w:rsid w:val="002E3993"/>
    <w:rsid w:val="002E41CA"/>
    <w:rsid w:val="002E4671"/>
    <w:rsid w:val="002E58CA"/>
    <w:rsid w:val="002F14CE"/>
    <w:rsid w:val="002F163F"/>
    <w:rsid w:val="002F1A0B"/>
    <w:rsid w:val="002F541F"/>
    <w:rsid w:val="00301A90"/>
    <w:rsid w:val="00301BA3"/>
    <w:rsid w:val="00304174"/>
    <w:rsid w:val="003077AD"/>
    <w:rsid w:val="003077E5"/>
    <w:rsid w:val="00311253"/>
    <w:rsid w:val="0031234B"/>
    <w:rsid w:val="003137DA"/>
    <w:rsid w:val="003164A2"/>
    <w:rsid w:val="003172DC"/>
    <w:rsid w:val="00317DA6"/>
    <w:rsid w:val="0032225C"/>
    <w:rsid w:val="00324EE9"/>
    <w:rsid w:val="00325598"/>
    <w:rsid w:val="00326560"/>
    <w:rsid w:val="00327DF5"/>
    <w:rsid w:val="0033201F"/>
    <w:rsid w:val="003333D6"/>
    <w:rsid w:val="00333AB7"/>
    <w:rsid w:val="00335A5F"/>
    <w:rsid w:val="0034052F"/>
    <w:rsid w:val="0034056C"/>
    <w:rsid w:val="00342AC6"/>
    <w:rsid w:val="0034301D"/>
    <w:rsid w:val="003444E2"/>
    <w:rsid w:val="00351D98"/>
    <w:rsid w:val="00353AFA"/>
    <w:rsid w:val="0035462D"/>
    <w:rsid w:val="00355CF0"/>
    <w:rsid w:val="00356B73"/>
    <w:rsid w:val="00357CAB"/>
    <w:rsid w:val="00361F25"/>
    <w:rsid w:val="00365A47"/>
    <w:rsid w:val="00371C90"/>
    <w:rsid w:val="003765B8"/>
    <w:rsid w:val="003772E9"/>
    <w:rsid w:val="00377353"/>
    <w:rsid w:val="00382993"/>
    <w:rsid w:val="00384DCA"/>
    <w:rsid w:val="00386729"/>
    <w:rsid w:val="00391AE3"/>
    <w:rsid w:val="003926D8"/>
    <w:rsid w:val="00394AD3"/>
    <w:rsid w:val="00396C5D"/>
    <w:rsid w:val="003A0483"/>
    <w:rsid w:val="003A104C"/>
    <w:rsid w:val="003A27CB"/>
    <w:rsid w:val="003A293C"/>
    <w:rsid w:val="003B20CE"/>
    <w:rsid w:val="003B302C"/>
    <w:rsid w:val="003B49C0"/>
    <w:rsid w:val="003B56B1"/>
    <w:rsid w:val="003C0F12"/>
    <w:rsid w:val="003C1713"/>
    <w:rsid w:val="003C3971"/>
    <w:rsid w:val="003C46B9"/>
    <w:rsid w:val="003C5DAB"/>
    <w:rsid w:val="003C613C"/>
    <w:rsid w:val="003C6A8C"/>
    <w:rsid w:val="003C6F54"/>
    <w:rsid w:val="003D1219"/>
    <w:rsid w:val="003D2C99"/>
    <w:rsid w:val="003D3FA9"/>
    <w:rsid w:val="003D5B7E"/>
    <w:rsid w:val="003D5F84"/>
    <w:rsid w:val="003D63F1"/>
    <w:rsid w:val="003E0B92"/>
    <w:rsid w:val="003E2D2F"/>
    <w:rsid w:val="003E3218"/>
    <w:rsid w:val="003E6202"/>
    <w:rsid w:val="003E7753"/>
    <w:rsid w:val="003F0C6B"/>
    <w:rsid w:val="003F15CD"/>
    <w:rsid w:val="003F35C9"/>
    <w:rsid w:val="003F4BC4"/>
    <w:rsid w:val="003F5632"/>
    <w:rsid w:val="003F6ACE"/>
    <w:rsid w:val="003F788E"/>
    <w:rsid w:val="00403924"/>
    <w:rsid w:val="00403E33"/>
    <w:rsid w:val="00403EBC"/>
    <w:rsid w:val="00411B1E"/>
    <w:rsid w:val="00411B2A"/>
    <w:rsid w:val="00413DB8"/>
    <w:rsid w:val="00414EF2"/>
    <w:rsid w:val="0041733B"/>
    <w:rsid w:val="00417F37"/>
    <w:rsid w:val="00420D44"/>
    <w:rsid w:val="00420EDA"/>
    <w:rsid w:val="004228CF"/>
    <w:rsid w:val="004229F4"/>
    <w:rsid w:val="00423334"/>
    <w:rsid w:val="00423521"/>
    <w:rsid w:val="00430996"/>
    <w:rsid w:val="00430C62"/>
    <w:rsid w:val="004320EA"/>
    <w:rsid w:val="00432F60"/>
    <w:rsid w:val="004345EC"/>
    <w:rsid w:val="00434AD6"/>
    <w:rsid w:val="00442674"/>
    <w:rsid w:val="00444E71"/>
    <w:rsid w:val="00447126"/>
    <w:rsid w:val="00447F34"/>
    <w:rsid w:val="0045507B"/>
    <w:rsid w:val="00457D03"/>
    <w:rsid w:val="004621B2"/>
    <w:rsid w:val="00463240"/>
    <w:rsid w:val="00466E2C"/>
    <w:rsid w:val="0046781D"/>
    <w:rsid w:val="0047125D"/>
    <w:rsid w:val="00472490"/>
    <w:rsid w:val="004728B7"/>
    <w:rsid w:val="0047435B"/>
    <w:rsid w:val="004743B3"/>
    <w:rsid w:val="0047564A"/>
    <w:rsid w:val="0047571F"/>
    <w:rsid w:val="00475AC6"/>
    <w:rsid w:val="004768DA"/>
    <w:rsid w:val="00476DFF"/>
    <w:rsid w:val="0048165A"/>
    <w:rsid w:val="00481956"/>
    <w:rsid w:val="004819D5"/>
    <w:rsid w:val="004826A9"/>
    <w:rsid w:val="004843F2"/>
    <w:rsid w:val="004872AA"/>
    <w:rsid w:val="00490441"/>
    <w:rsid w:val="004A2AA8"/>
    <w:rsid w:val="004A2D47"/>
    <w:rsid w:val="004A5DB3"/>
    <w:rsid w:val="004A69CF"/>
    <w:rsid w:val="004A7E2A"/>
    <w:rsid w:val="004B0354"/>
    <w:rsid w:val="004B1648"/>
    <w:rsid w:val="004B1751"/>
    <w:rsid w:val="004B52BA"/>
    <w:rsid w:val="004B5C7F"/>
    <w:rsid w:val="004B666D"/>
    <w:rsid w:val="004B6E25"/>
    <w:rsid w:val="004C15E6"/>
    <w:rsid w:val="004C1601"/>
    <w:rsid w:val="004C19B3"/>
    <w:rsid w:val="004C1CD9"/>
    <w:rsid w:val="004C1E81"/>
    <w:rsid w:val="004C3DE7"/>
    <w:rsid w:val="004C4B7A"/>
    <w:rsid w:val="004C602D"/>
    <w:rsid w:val="004C7164"/>
    <w:rsid w:val="004D2592"/>
    <w:rsid w:val="004D3578"/>
    <w:rsid w:val="004D495A"/>
    <w:rsid w:val="004D49B1"/>
    <w:rsid w:val="004D4F27"/>
    <w:rsid w:val="004D5ADE"/>
    <w:rsid w:val="004E213A"/>
    <w:rsid w:val="004E4A6D"/>
    <w:rsid w:val="004E68A7"/>
    <w:rsid w:val="004F0988"/>
    <w:rsid w:val="004F25B0"/>
    <w:rsid w:val="004F3340"/>
    <w:rsid w:val="004F3E3D"/>
    <w:rsid w:val="004F5111"/>
    <w:rsid w:val="004F7DEF"/>
    <w:rsid w:val="005014A2"/>
    <w:rsid w:val="005028AC"/>
    <w:rsid w:val="005053A0"/>
    <w:rsid w:val="00506D89"/>
    <w:rsid w:val="005076C9"/>
    <w:rsid w:val="00507853"/>
    <w:rsid w:val="00507C83"/>
    <w:rsid w:val="0051025D"/>
    <w:rsid w:val="00510858"/>
    <w:rsid w:val="005109CF"/>
    <w:rsid w:val="00517339"/>
    <w:rsid w:val="00517727"/>
    <w:rsid w:val="005203B8"/>
    <w:rsid w:val="00523D73"/>
    <w:rsid w:val="00525649"/>
    <w:rsid w:val="00527EB7"/>
    <w:rsid w:val="005303AA"/>
    <w:rsid w:val="005322DC"/>
    <w:rsid w:val="0053388B"/>
    <w:rsid w:val="00534458"/>
    <w:rsid w:val="00534BE5"/>
    <w:rsid w:val="0053541F"/>
    <w:rsid w:val="00535773"/>
    <w:rsid w:val="00537FD8"/>
    <w:rsid w:val="00540EED"/>
    <w:rsid w:val="0054311A"/>
    <w:rsid w:val="00543E6C"/>
    <w:rsid w:val="005448A5"/>
    <w:rsid w:val="00545579"/>
    <w:rsid w:val="00546100"/>
    <w:rsid w:val="00546297"/>
    <w:rsid w:val="0054772A"/>
    <w:rsid w:val="00547C26"/>
    <w:rsid w:val="00550923"/>
    <w:rsid w:val="00553BDA"/>
    <w:rsid w:val="00554C59"/>
    <w:rsid w:val="0055584B"/>
    <w:rsid w:val="00557F4F"/>
    <w:rsid w:val="00560489"/>
    <w:rsid w:val="00560D89"/>
    <w:rsid w:val="005622E6"/>
    <w:rsid w:val="00562E2C"/>
    <w:rsid w:val="00565087"/>
    <w:rsid w:val="00565DCA"/>
    <w:rsid w:val="00566BCE"/>
    <w:rsid w:val="005673C3"/>
    <w:rsid w:val="005675B6"/>
    <w:rsid w:val="00570662"/>
    <w:rsid w:val="00570B7D"/>
    <w:rsid w:val="00572726"/>
    <w:rsid w:val="00572E14"/>
    <w:rsid w:val="0058417E"/>
    <w:rsid w:val="00586B14"/>
    <w:rsid w:val="00593B63"/>
    <w:rsid w:val="00594F57"/>
    <w:rsid w:val="005973BE"/>
    <w:rsid w:val="005975EC"/>
    <w:rsid w:val="00597EC8"/>
    <w:rsid w:val="005A0CAB"/>
    <w:rsid w:val="005A0DD1"/>
    <w:rsid w:val="005A0F3C"/>
    <w:rsid w:val="005A5986"/>
    <w:rsid w:val="005A656C"/>
    <w:rsid w:val="005B13D8"/>
    <w:rsid w:val="005B40BD"/>
    <w:rsid w:val="005B4516"/>
    <w:rsid w:val="005C0B3C"/>
    <w:rsid w:val="005C4580"/>
    <w:rsid w:val="005D0772"/>
    <w:rsid w:val="005D2E01"/>
    <w:rsid w:val="005D7526"/>
    <w:rsid w:val="005E22E0"/>
    <w:rsid w:val="005E69AE"/>
    <w:rsid w:val="005E6DA3"/>
    <w:rsid w:val="005F74B7"/>
    <w:rsid w:val="005F7738"/>
    <w:rsid w:val="00600D57"/>
    <w:rsid w:val="00602AEA"/>
    <w:rsid w:val="006045C9"/>
    <w:rsid w:val="006054D7"/>
    <w:rsid w:val="006073EA"/>
    <w:rsid w:val="00607E3C"/>
    <w:rsid w:val="006108D6"/>
    <w:rsid w:val="00613DF8"/>
    <w:rsid w:val="00614FDF"/>
    <w:rsid w:val="006155FF"/>
    <w:rsid w:val="00615627"/>
    <w:rsid w:val="0061788B"/>
    <w:rsid w:val="00617BD2"/>
    <w:rsid w:val="00617C29"/>
    <w:rsid w:val="00621028"/>
    <w:rsid w:val="00621351"/>
    <w:rsid w:val="00621F70"/>
    <w:rsid w:val="00624566"/>
    <w:rsid w:val="006246A7"/>
    <w:rsid w:val="00625205"/>
    <w:rsid w:val="0062595A"/>
    <w:rsid w:val="00631E11"/>
    <w:rsid w:val="0063543D"/>
    <w:rsid w:val="0063583B"/>
    <w:rsid w:val="006365C9"/>
    <w:rsid w:val="00637D9E"/>
    <w:rsid w:val="0064092F"/>
    <w:rsid w:val="006435FD"/>
    <w:rsid w:val="00644A76"/>
    <w:rsid w:val="00645A62"/>
    <w:rsid w:val="00647114"/>
    <w:rsid w:val="006521E0"/>
    <w:rsid w:val="006528E0"/>
    <w:rsid w:val="00652DA0"/>
    <w:rsid w:val="006531E9"/>
    <w:rsid w:val="006544E2"/>
    <w:rsid w:val="0065560D"/>
    <w:rsid w:val="00661AA4"/>
    <w:rsid w:val="00662106"/>
    <w:rsid w:val="0066653C"/>
    <w:rsid w:val="006668F5"/>
    <w:rsid w:val="006678E1"/>
    <w:rsid w:val="006744DF"/>
    <w:rsid w:val="00676593"/>
    <w:rsid w:val="006772D8"/>
    <w:rsid w:val="006810ED"/>
    <w:rsid w:val="00681770"/>
    <w:rsid w:val="00682A6B"/>
    <w:rsid w:val="00683387"/>
    <w:rsid w:val="006847A0"/>
    <w:rsid w:val="00684872"/>
    <w:rsid w:val="00685EF5"/>
    <w:rsid w:val="00686017"/>
    <w:rsid w:val="00692E9E"/>
    <w:rsid w:val="00693AA6"/>
    <w:rsid w:val="006956F0"/>
    <w:rsid w:val="006A1ACA"/>
    <w:rsid w:val="006A2134"/>
    <w:rsid w:val="006A2396"/>
    <w:rsid w:val="006A2C3D"/>
    <w:rsid w:val="006A323F"/>
    <w:rsid w:val="006A6D4D"/>
    <w:rsid w:val="006A6EA5"/>
    <w:rsid w:val="006A7137"/>
    <w:rsid w:val="006A754B"/>
    <w:rsid w:val="006B30D0"/>
    <w:rsid w:val="006B4526"/>
    <w:rsid w:val="006B55D4"/>
    <w:rsid w:val="006B684A"/>
    <w:rsid w:val="006C228A"/>
    <w:rsid w:val="006C3D95"/>
    <w:rsid w:val="006C54EF"/>
    <w:rsid w:val="006D3173"/>
    <w:rsid w:val="006D7B72"/>
    <w:rsid w:val="006E1833"/>
    <w:rsid w:val="006E5C86"/>
    <w:rsid w:val="006F057B"/>
    <w:rsid w:val="006F5F8C"/>
    <w:rsid w:val="00703E5A"/>
    <w:rsid w:val="0070556D"/>
    <w:rsid w:val="00706FEF"/>
    <w:rsid w:val="007114D4"/>
    <w:rsid w:val="00713C44"/>
    <w:rsid w:val="00714BC8"/>
    <w:rsid w:val="0071715B"/>
    <w:rsid w:val="00717374"/>
    <w:rsid w:val="00721B7C"/>
    <w:rsid w:val="00722E57"/>
    <w:rsid w:val="00725919"/>
    <w:rsid w:val="00726CF3"/>
    <w:rsid w:val="00731F4B"/>
    <w:rsid w:val="00734A5B"/>
    <w:rsid w:val="00736266"/>
    <w:rsid w:val="0074026F"/>
    <w:rsid w:val="007429F6"/>
    <w:rsid w:val="00743FC9"/>
    <w:rsid w:val="00744A77"/>
    <w:rsid w:val="00744AB4"/>
    <w:rsid w:val="00744E76"/>
    <w:rsid w:val="007454B3"/>
    <w:rsid w:val="00745A80"/>
    <w:rsid w:val="00746614"/>
    <w:rsid w:val="00746C81"/>
    <w:rsid w:val="00747CF6"/>
    <w:rsid w:val="00747F2C"/>
    <w:rsid w:val="00751EAE"/>
    <w:rsid w:val="00752198"/>
    <w:rsid w:val="00753809"/>
    <w:rsid w:val="00753881"/>
    <w:rsid w:val="00753A0D"/>
    <w:rsid w:val="007551EB"/>
    <w:rsid w:val="00755F93"/>
    <w:rsid w:val="007638FF"/>
    <w:rsid w:val="007668BD"/>
    <w:rsid w:val="00771F2B"/>
    <w:rsid w:val="00772FB5"/>
    <w:rsid w:val="00773E20"/>
    <w:rsid w:val="00774DA4"/>
    <w:rsid w:val="00776519"/>
    <w:rsid w:val="00781F0F"/>
    <w:rsid w:val="00782AB9"/>
    <w:rsid w:val="007877F7"/>
    <w:rsid w:val="00793EA4"/>
    <w:rsid w:val="00796D43"/>
    <w:rsid w:val="007972E9"/>
    <w:rsid w:val="007A093E"/>
    <w:rsid w:val="007A2285"/>
    <w:rsid w:val="007A573B"/>
    <w:rsid w:val="007A71CD"/>
    <w:rsid w:val="007B22B1"/>
    <w:rsid w:val="007B2327"/>
    <w:rsid w:val="007B5DD5"/>
    <w:rsid w:val="007B600E"/>
    <w:rsid w:val="007B6528"/>
    <w:rsid w:val="007C30EE"/>
    <w:rsid w:val="007C3229"/>
    <w:rsid w:val="007C7D6D"/>
    <w:rsid w:val="007D250A"/>
    <w:rsid w:val="007D2DD2"/>
    <w:rsid w:val="007D5FF7"/>
    <w:rsid w:val="007E043F"/>
    <w:rsid w:val="007E2C5C"/>
    <w:rsid w:val="007E559C"/>
    <w:rsid w:val="007E5AE9"/>
    <w:rsid w:val="007F0F4A"/>
    <w:rsid w:val="007F1576"/>
    <w:rsid w:val="007F217A"/>
    <w:rsid w:val="007F2779"/>
    <w:rsid w:val="007F27E2"/>
    <w:rsid w:val="008000C9"/>
    <w:rsid w:val="008028A4"/>
    <w:rsid w:val="00813076"/>
    <w:rsid w:val="00813BA9"/>
    <w:rsid w:val="0081644F"/>
    <w:rsid w:val="0081723D"/>
    <w:rsid w:val="00820B25"/>
    <w:rsid w:val="008214C4"/>
    <w:rsid w:val="00827D27"/>
    <w:rsid w:val="00827EA2"/>
    <w:rsid w:val="00830747"/>
    <w:rsid w:val="00834916"/>
    <w:rsid w:val="0083543E"/>
    <w:rsid w:val="00841CB2"/>
    <w:rsid w:val="00855805"/>
    <w:rsid w:val="008564ED"/>
    <w:rsid w:val="00857763"/>
    <w:rsid w:val="0085776C"/>
    <w:rsid w:val="00857DED"/>
    <w:rsid w:val="008655B7"/>
    <w:rsid w:val="008718B8"/>
    <w:rsid w:val="00871F31"/>
    <w:rsid w:val="0087377F"/>
    <w:rsid w:val="00875600"/>
    <w:rsid w:val="008768CA"/>
    <w:rsid w:val="008779A7"/>
    <w:rsid w:val="0088181C"/>
    <w:rsid w:val="00883E90"/>
    <w:rsid w:val="00886D52"/>
    <w:rsid w:val="0089062C"/>
    <w:rsid w:val="008914E6"/>
    <w:rsid w:val="00891C35"/>
    <w:rsid w:val="008945DA"/>
    <w:rsid w:val="00894F5A"/>
    <w:rsid w:val="00895220"/>
    <w:rsid w:val="0089731D"/>
    <w:rsid w:val="008975F5"/>
    <w:rsid w:val="0089786F"/>
    <w:rsid w:val="008A32F4"/>
    <w:rsid w:val="008A3527"/>
    <w:rsid w:val="008A5F18"/>
    <w:rsid w:val="008A645A"/>
    <w:rsid w:val="008B3CD2"/>
    <w:rsid w:val="008B50F9"/>
    <w:rsid w:val="008B5275"/>
    <w:rsid w:val="008B58D4"/>
    <w:rsid w:val="008B61E9"/>
    <w:rsid w:val="008C018B"/>
    <w:rsid w:val="008C0642"/>
    <w:rsid w:val="008C384C"/>
    <w:rsid w:val="008C3B46"/>
    <w:rsid w:val="008C48CC"/>
    <w:rsid w:val="008C494B"/>
    <w:rsid w:val="008C71B1"/>
    <w:rsid w:val="008C74C8"/>
    <w:rsid w:val="008D16AE"/>
    <w:rsid w:val="008D1C7A"/>
    <w:rsid w:val="008D5927"/>
    <w:rsid w:val="008D6218"/>
    <w:rsid w:val="008E5BF7"/>
    <w:rsid w:val="008E67A6"/>
    <w:rsid w:val="008E68C8"/>
    <w:rsid w:val="008E7986"/>
    <w:rsid w:val="008F3B78"/>
    <w:rsid w:val="008F41AD"/>
    <w:rsid w:val="008F626A"/>
    <w:rsid w:val="008F64D0"/>
    <w:rsid w:val="00900F99"/>
    <w:rsid w:val="0090271F"/>
    <w:rsid w:val="00902E23"/>
    <w:rsid w:val="0090416C"/>
    <w:rsid w:val="0091018D"/>
    <w:rsid w:val="009114D7"/>
    <w:rsid w:val="0091348E"/>
    <w:rsid w:val="00915FEB"/>
    <w:rsid w:val="00916017"/>
    <w:rsid w:val="0091655D"/>
    <w:rsid w:val="00916D73"/>
    <w:rsid w:val="00917CCB"/>
    <w:rsid w:val="00921B42"/>
    <w:rsid w:val="00921E71"/>
    <w:rsid w:val="009239C5"/>
    <w:rsid w:val="00924B2B"/>
    <w:rsid w:val="009258C3"/>
    <w:rsid w:val="00925AB6"/>
    <w:rsid w:val="00926405"/>
    <w:rsid w:val="0092677D"/>
    <w:rsid w:val="00926C25"/>
    <w:rsid w:val="009303E9"/>
    <w:rsid w:val="00930919"/>
    <w:rsid w:val="00935497"/>
    <w:rsid w:val="00935DA5"/>
    <w:rsid w:val="00940B40"/>
    <w:rsid w:val="00942EC2"/>
    <w:rsid w:val="00943BA1"/>
    <w:rsid w:val="00943C9E"/>
    <w:rsid w:val="00945DDF"/>
    <w:rsid w:val="0094625B"/>
    <w:rsid w:val="00947C26"/>
    <w:rsid w:val="00950216"/>
    <w:rsid w:val="0095039B"/>
    <w:rsid w:val="00952398"/>
    <w:rsid w:val="00952B1C"/>
    <w:rsid w:val="00952E04"/>
    <w:rsid w:val="00955390"/>
    <w:rsid w:val="009565CF"/>
    <w:rsid w:val="00965947"/>
    <w:rsid w:val="009748CC"/>
    <w:rsid w:val="00983D08"/>
    <w:rsid w:val="00984404"/>
    <w:rsid w:val="00986DFB"/>
    <w:rsid w:val="00986F16"/>
    <w:rsid w:val="00987F2C"/>
    <w:rsid w:val="00990B3B"/>
    <w:rsid w:val="009929FF"/>
    <w:rsid w:val="009B1E17"/>
    <w:rsid w:val="009B373D"/>
    <w:rsid w:val="009C54F7"/>
    <w:rsid w:val="009D0FD1"/>
    <w:rsid w:val="009D2135"/>
    <w:rsid w:val="009D38F9"/>
    <w:rsid w:val="009D40A0"/>
    <w:rsid w:val="009D4294"/>
    <w:rsid w:val="009D463A"/>
    <w:rsid w:val="009D5C3A"/>
    <w:rsid w:val="009E033B"/>
    <w:rsid w:val="009E0DD5"/>
    <w:rsid w:val="009E2A1B"/>
    <w:rsid w:val="009E462B"/>
    <w:rsid w:val="009E7A71"/>
    <w:rsid w:val="009F001E"/>
    <w:rsid w:val="009F0FC6"/>
    <w:rsid w:val="009F37B7"/>
    <w:rsid w:val="009F3B18"/>
    <w:rsid w:val="009F5E43"/>
    <w:rsid w:val="009F67FB"/>
    <w:rsid w:val="00A03180"/>
    <w:rsid w:val="00A03953"/>
    <w:rsid w:val="00A0698C"/>
    <w:rsid w:val="00A06AAF"/>
    <w:rsid w:val="00A10F02"/>
    <w:rsid w:val="00A13BCD"/>
    <w:rsid w:val="00A13C2E"/>
    <w:rsid w:val="00A14D3F"/>
    <w:rsid w:val="00A164B4"/>
    <w:rsid w:val="00A1761C"/>
    <w:rsid w:val="00A17F0B"/>
    <w:rsid w:val="00A2000D"/>
    <w:rsid w:val="00A20472"/>
    <w:rsid w:val="00A21E4F"/>
    <w:rsid w:val="00A22B93"/>
    <w:rsid w:val="00A24097"/>
    <w:rsid w:val="00A26956"/>
    <w:rsid w:val="00A3100D"/>
    <w:rsid w:val="00A36A9B"/>
    <w:rsid w:val="00A40682"/>
    <w:rsid w:val="00A429FD"/>
    <w:rsid w:val="00A44812"/>
    <w:rsid w:val="00A46291"/>
    <w:rsid w:val="00A46C3B"/>
    <w:rsid w:val="00A504EC"/>
    <w:rsid w:val="00A5330E"/>
    <w:rsid w:val="00A536F4"/>
    <w:rsid w:val="00A53724"/>
    <w:rsid w:val="00A55706"/>
    <w:rsid w:val="00A612AD"/>
    <w:rsid w:val="00A6152B"/>
    <w:rsid w:val="00A625A6"/>
    <w:rsid w:val="00A62CC4"/>
    <w:rsid w:val="00A67816"/>
    <w:rsid w:val="00A70BF3"/>
    <w:rsid w:val="00A7175A"/>
    <w:rsid w:val="00A73129"/>
    <w:rsid w:val="00A75621"/>
    <w:rsid w:val="00A82055"/>
    <w:rsid w:val="00A82346"/>
    <w:rsid w:val="00A83518"/>
    <w:rsid w:val="00A866B2"/>
    <w:rsid w:val="00A86AFC"/>
    <w:rsid w:val="00A87AE8"/>
    <w:rsid w:val="00A92BA1"/>
    <w:rsid w:val="00A92E7C"/>
    <w:rsid w:val="00A942D0"/>
    <w:rsid w:val="00AA00A5"/>
    <w:rsid w:val="00AA1FB5"/>
    <w:rsid w:val="00AA3724"/>
    <w:rsid w:val="00AB0484"/>
    <w:rsid w:val="00AB1518"/>
    <w:rsid w:val="00AB2309"/>
    <w:rsid w:val="00AB2B34"/>
    <w:rsid w:val="00AB3B81"/>
    <w:rsid w:val="00AB4E74"/>
    <w:rsid w:val="00AB5A96"/>
    <w:rsid w:val="00AB6434"/>
    <w:rsid w:val="00AB7349"/>
    <w:rsid w:val="00AC0150"/>
    <w:rsid w:val="00AC1151"/>
    <w:rsid w:val="00AC1AD1"/>
    <w:rsid w:val="00AC1D2D"/>
    <w:rsid w:val="00AC1EBB"/>
    <w:rsid w:val="00AC287F"/>
    <w:rsid w:val="00AC29AC"/>
    <w:rsid w:val="00AC6BC6"/>
    <w:rsid w:val="00AC6D4C"/>
    <w:rsid w:val="00AD2345"/>
    <w:rsid w:val="00AD5F64"/>
    <w:rsid w:val="00AD63AF"/>
    <w:rsid w:val="00AE339C"/>
    <w:rsid w:val="00AE3797"/>
    <w:rsid w:val="00AE3846"/>
    <w:rsid w:val="00AE558B"/>
    <w:rsid w:val="00AE764B"/>
    <w:rsid w:val="00AE7A99"/>
    <w:rsid w:val="00AF133E"/>
    <w:rsid w:val="00AF3857"/>
    <w:rsid w:val="00AF4AA4"/>
    <w:rsid w:val="00AF4AA5"/>
    <w:rsid w:val="00AF5B46"/>
    <w:rsid w:val="00AF6C7A"/>
    <w:rsid w:val="00AF7AB0"/>
    <w:rsid w:val="00B04616"/>
    <w:rsid w:val="00B046AA"/>
    <w:rsid w:val="00B05D02"/>
    <w:rsid w:val="00B06D80"/>
    <w:rsid w:val="00B105EF"/>
    <w:rsid w:val="00B14734"/>
    <w:rsid w:val="00B14FC1"/>
    <w:rsid w:val="00B150E6"/>
    <w:rsid w:val="00B15449"/>
    <w:rsid w:val="00B164A3"/>
    <w:rsid w:val="00B17B75"/>
    <w:rsid w:val="00B208BA"/>
    <w:rsid w:val="00B218B8"/>
    <w:rsid w:val="00B231E1"/>
    <w:rsid w:val="00B24006"/>
    <w:rsid w:val="00B2629A"/>
    <w:rsid w:val="00B30350"/>
    <w:rsid w:val="00B318E4"/>
    <w:rsid w:val="00B345DF"/>
    <w:rsid w:val="00B35505"/>
    <w:rsid w:val="00B36D98"/>
    <w:rsid w:val="00B37C5A"/>
    <w:rsid w:val="00B403C0"/>
    <w:rsid w:val="00B42A9D"/>
    <w:rsid w:val="00B4376F"/>
    <w:rsid w:val="00B43FFB"/>
    <w:rsid w:val="00B44DCF"/>
    <w:rsid w:val="00B4679C"/>
    <w:rsid w:val="00B50292"/>
    <w:rsid w:val="00B51CDC"/>
    <w:rsid w:val="00B53267"/>
    <w:rsid w:val="00B56C66"/>
    <w:rsid w:val="00B571DA"/>
    <w:rsid w:val="00B574A0"/>
    <w:rsid w:val="00B61F15"/>
    <w:rsid w:val="00B62EB2"/>
    <w:rsid w:val="00B6381B"/>
    <w:rsid w:val="00B63EC4"/>
    <w:rsid w:val="00B65B0B"/>
    <w:rsid w:val="00B65EF0"/>
    <w:rsid w:val="00B67C5E"/>
    <w:rsid w:val="00B70DAA"/>
    <w:rsid w:val="00B737D1"/>
    <w:rsid w:val="00B76FBB"/>
    <w:rsid w:val="00B82422"/>
    <w:rsid w:val="00B85057"/>
    <w:rsid w:val="00B863E2"/>
    <w:rsid w:val="00B86FA1"/>
    <w:rsid w:val="00B90341"/>
    <w:rsid w:val="00B90A66"/>
    <w:rsid w:val="00B90C16"/>
    <w:rsid w:val="00B93086"/>
    <w:rsid w:val="00B94BAF"/>
    <w:rsid w:val="00B95D11"/>
    <w:rsid w:val="00B97D6A"/>
    <w:rsid w:val="00BA19ED"/>
    <w:rsid w:val="00BA300B"/>
    <w:rsid w:val="00BA4B8D"/>
    <w:rsid w:val="00BB75F0"/>
    <w:rsid w:val="00BC0F7D"/>
    <w:rsid w:val="00BC2989"/>
    <w:rsid w:val="00BC2FAC"/>
    <w:rsid w:val="00BC36E7"/>
    <w:rsid w:val="00BC4461"/>
    <w:rsid w:val="00BD0172"/>
    <w:rsid w:val="00BD0A99"/>
    <w:rsid w:val="00BD24FF"/>
    <w:rsid w:val="00BD5628"/>
    <w:rsid w:val="00BE2532"/>
    <w:rsid w:val="00BE3255"/>
    <w:rsid w:val="00BF128E"/>
    <w:rsid w:val="00BF3FE4"/>
    <w:rsid w:val="00BF4AC2"/>
    <w:rsid w:val="00BF4C3B"/>
    <w:rsid w:val="00BF5998"/>
    <w:rsid w:val="00BF6A1B"/>
    <w:rsid w:val="00C00210"/>
    <w:rsid w:val="00C01596"/>
    <w:rsid w:val="00C02C0B"/>
    <w:rsid w:val="00C0382F"/>
    <w:rsid w:val="00C11580"/>
    <w:rsid w:val="00C1199E"/>
    <w:rsid w:val="00C124A0"/>
    <w:rsid w:val="00C131E6"/>
    <w:rsid w:val="00C1496A"/>
    <w:rsid w:val="00C22ACF"/>
    <w:rsid w:val="00C25CBE"/>
    <w:rsid w:val="00C26949"/>
    <w:rsid w:val="00C3061E"/>
    <w:rsid w:val="00C30DBB"/>
    <w:rsid w:val="00C33079"/>
    <w:rsid w:val="00C33A14"/>
    <w:rsid w:val="00C3403D"/>
    <w:rsid w:val="00C358C6"/>
    <w:rsid w:val="00C36430"/>
    <w:rsid w:val="00C40EB1"/>
    <w:rsid w:val="00C41FEE"/>
    <w:rsid w:val="00C42936"/>
    <w:rsid w:val="00C45231"/>
    <w:rsid w:val="00C45F26"/>
    <w:rsid w:val="00C511DD"/>
    <w:rsid w:val="00C5150C"/>
    <w:rsid w:val="00C54839"/>
    <w:rsid w:val="00C54C23"/>
    <w:rsid w:val="00C575E9"/>
    <w:rsid w:val="00C64587"/>
    <w:rsid w:val="00C671BB"/>
    <w:rsid w:val="00C6757B"/>
    <w:rsid w:val="00C71329"/>
    <w:rsid w:val="00C71DA1"/>
    <w:rsid w:val="00C7217D"/>
    <w:rsid w:val="00C72833"/>
    <w:rsid w:val="00C80C12"/>
    <w:rsid w:val="00C80F1D"/>
    <w:rsid w:val="00C86208"/>
    <w:rsid w:val="00C87227"/>
    <w:rsid w:val="00C90451"/>
    <w:rsid w:val="00C91CE2"/>
    <w:rsid w:val="00C9252F"/>
    <w:rsid w:val="00C93F40"/>
    <w:rsid w:val="00C94AAB"/>
    <w:rsid w:val="00C97B9B"/>
    <w:rsid w:val="00CA1FA7"/>
    <w:rsid w:val="00CA3D0C"/>
    <w:rsid w:val="00CA722E"/>
    <w:rsid w:val="00CA7CA7"/>
    <w:rsid w:val="00CB05F4"/>
    <w:rsid w:val="00CB1111"/>
    <w:rsid w:val="00CB23E6"/>
    <w:rsid w:val="00CB2425"/>
    <w:rsid w:val="00CB582F"/>
    <w:rsid w:val="00CB717E"/>
    <w:rsid w:val="00CC0364"/>
    <w:rsid w:val="00CC2401"/>
    <w:rsid w:val="00CC4146"/>
    <w:rsid w:val="00CC53DB"/>
    <w:rsid w:val="00CC5584"/>
    <w:rsid w:val="00CC6588"/>
    <w:rsid w:val="00CD25A6"/>
    <w:rsid w:val="00CD4020"/>
    <w:rsid w:val="00CD604C"/>
    <w:rsid w:val="00CD6A2A"/>
    <w:rsid w:val="00CE13AF"/>
    <w:rsid w:val="00CE166D"/>
    <w:rsid w:val="00CE2F48"/>
    <w:rsid w:val="00CE480D"/>
    <w:rsid w:val="00CE6DD7"/>
    <w:rsid w:val="00CF01D5"/>
    <w:rsid w:val="00CF20E3"/>
    <w:rsid w:val="00CF4D0D"/>
    <w:rsid w:val="00CF5288"/>
    <w:rsid w:val="00CF65B5"/>
    <w:rsid w:val="00CF699A"/>
    <w:rsid w:val="00CF7829"/>
    <w:rsid w:val="00D00B42"/>
    <w:rsid w:val="00D00C33"/>
    <w:rsid w:val="00D0314D"/>
    <w:rsid w:val="00D03C06"/>
    <w:rsid w:val="00D0578C"/>
    <w:rsid w:val="00D06559"/>
    <w:rsid w:val="00D07C1B"/>
    <w:rsid w:val="00D1371E"/>
    <w:rsid w:val="00D14617"/>
    <w:rsid w:val="00D157A8"/>
    <w:rsid w:val="00D227AE"/>
    <w:rsid w:val="00D23897"/>
    <w:rsid w:val="00D3013B"/>
    <w:rsid w:val="00D306E6"/>
    <w:rsid w:val="00D309CC"/>
    <w:rsid w:val="00D35C6E"/>
    <w:rsid w:val="00D364EA"/>
    <w:rsid w:val="00D40F82"/>
    <w:rsid w:val="00D4626B"/>
    <w:rsid w:val="00D463BE"/>
    <w:rsid w:val="00D463D6"/>
    <w:rsid w:val="00D46431"/>
    <w:rsid w:val="00D51D49"/>
    <w:rsid w:val="00D56A52"/>
    <w:rsid w:val="00D57055"/>
    <w:rsid w:val="00D57972"/>
    <w:rsid w:val="00D62664"/>
    <w:rsid w:val="00D675A9"/>
    <w:rsid w:val="00D7106C"/>
    <w:rsid w:val="00D738D6"/>
    <w:rsid w:val="00D755EB"/>
    <w:rsid w:val="00D759B2"/>
    <w:rsid w:val="00D777C7"/>
    <w:rsid w:val="00D77F34"/>
    <w:rsid w:val="00D82723"/>
    <w:rsid w:val="00D8507E"/>
    <w:rsid w:val="00D8753A"/>
    <w:rsid w:val="00D87E00"/>
    <w:rsid w:val="00D9033A"/>
    <w:rsid w:val="00D9134D"/>
    <w:rsid w:val="00D94CF9"/>
    <w:rsid w:val="00D952B0"/>
    <w:rsid w:val="00DA30DD"/>
    <w:rsid w:val="00DA413D"/>
    <w:rsid w:val="00DA438A"/>
    <w:rsid w:val="00DA5A52"/>
    <w:rsid w:val="00DA776D"/>
    <w:rsid w:val="00DA7A03"/>
    <w:rsid w:val="00DB1818"/>
    <w:rsid w:val="00DB2C18"/>
    <w:rsid w:val="00DB4052"/>
    <w:rsid w:val="00DB4D84"/>
    <w:rsid w:val="00DB4DC3"/>
    <w:rsid w:val="00DB6C88"/>
    <w:rsid w:val="00DB76B5"/>
    <w:rsid w:val="00DB79A0"/>
    <w:rsid w:val="00DB79F7"/>
    <w:rsid w:val="00DC0F69"/>
    <w:rsid w:val="00DC309B"/>
    <w:rsid w:val="00DC3248"/>
    <w:rsid w:val="00DC4163"/>
    <w:rsid w:val="00DC4DA2"/>
    <w:rsid w:val="00DC50F4"/>
    <w:rsid w:val="00DC5BA6"/>
    <w:rsid w:val="00DD4C17"/>
    <w:rsid w:val="00DD52B7"/>
    <w:rsid w:val="00DD5D0D"/>
    <w:rsid w:val="00DD6DC0"/>
    <w:rsid w:val="00DE054A"/>
    <w:rsid w:val="00DE2485"/>
    <w:rsid w:val="00DE4140"/>
    <w:rsid w:val="00DF0098"/>
    <w:rsid w:val="00DF09FA"/>
    <w:rsid w:val="00DF2B1F"/>
    <w:rsid w:val="00DF464B"/>
    <w:rsid w:val="00DF51B9"/>
    <w:rsid w:val="00DF6189"/>
    <w:rsid w:val="00DF62CD"/>
    <w:rsid w:val="00DF693E"/>
    <w:rsid w:val="00E0718F"/>
    <w:rsid w:val="00E1178B"/>
    <w:rsid w:val="00E1357B"/>
    <w:rsid w:val="00E14625"/>
    <w:rsid w:val="00E16509"/>
    <w:rsid w:val="00E200B7"/>
    <w:rsid w:val="00E203C8"/>
    <w:rsid w:val="00E20C47"/>
    <w:rsid w:val="00E22CCA"/>
    <w:rsid w:val="00E2413E"/>
    <w:rsid w:val="00E25D99"/>
    <w:rsid w:val="00E2793D"/>
    <w:rsid w:val="00E30624"/>
    <w:rsid w:val="00E30B4C"/>
    <w:rsid w:val="00E30CF2"/>
    <w:rsid w:val="00E31F9C"/>
    <w:rsid w:val="00E33387"/>
    <w:rsid w:val="00E335EE"/>
    <w:rsid w:val="00E33F43"/>
    <w:rsid w:val="00E357E3"/>
    <w:rsid w:val="00E40520"/>
    <w:rsid w:val="00E42812"/>
    <w:rsid w:val="00E43FA4"/>
    <w:rsid w:val="00E44582"/>
    <w:rsid w:val="00E50162"/>
    <w:rsid w:val="00E52814"/>
    <w:rsid w:val="00E55A7D"/>
    <w:rsid w:val="00E55D33"/>
    <w:rsid w:val="00E56008"/>
    <w:rsid w:val="00E61FCF"/>
    <w:rsid w:val="00E642A2"/>
    <w:rsid w:val="00E64596"/>
    <w:rsid w:val="00E71380"/>
    <w:rsid w:val="00E72324"/>
    <w:rsid w:val="00E72ABE"/>
    <w:rsid w:val="00E72D45"/>
    <w:rsid w:val="00E74333"/>
    <w:rsid w:val="00E74480"/>
    <w:rsid w:val="00E74783"/>
    <w:rsid w:val="00E7686F"/>
    <w:rsid w:val="00E77645"/>
    <w:rsid w:val="00E8245D"/>
    <w:rsid w:val="00E82E78"/>
    <w:rsid w:val="00E83162"/>
    <w:rsid w:val="00E8333E"/>
    <w:rsid w:val="00E85336"/>
    <w:rsid w:val="00E85920"/>
    <w:rsid w:val="00E870CF"/>
    <w:rsid w:val="00E91B77"/>
    <w:rsid w:val="00E91E55"/>
    <w:rsid w:val="00E92CA4"/>
    <w:rsid w:val="00E92DEB"/>
    <w:rsid w:val="00E9459A"/>
    <w:rsid w:val="00E96D1A"/>
    <w:rsid w:val="00E9702D"/>
    <w:rsid w:val="00EA1644"/>
    <w:rsid w:val="00EA212F"/>
    <w:rsid w:val="00EA49EC"/>
    <w:rsid w:val="00EA5123"/>
    <w:rsid w:val="00EB060D"/>
    <w:rsid w:val="00EB1E4E"/>
    <w:rsid w:val="00EB29D5"/>
    <w:rsid w:val="00EB5978"/>
    <w:rsid w:val="00EB6DF9"/>
    <w:rsid w:val="00EC1283"/>
    <w:rsid w:val="00EC2636"/>
    <w:rsid w:val="00EC2F1D"/>
    <w:rsid w:val="00EC333A"/>
    <w:rsid w:val="00EC34F5"/>
    <w:rsid w:val="00EC4847"/>
    <w:rsid w:val="00EC4A25"/>
    <w:rsid w:val="00EC4A97"/>
    <w:rsid w:val="00EC5547"/>
    <w:rsid w:val="00EC55DC"/>
    <w:rsid w:val="00ED21B2"/>
    <w:rsid w:val="00ED3490"/>
    <w:rsid w:val="00ED46F8"/>
    <w:rsid w:val="00EE0853"/>
    <w:rsid w:val="00EE5AA7"/>
    <w:rsid w:val="00EE647A"/>
    <w:rsid w:val="00EF6914"/>
    <w:rsid w:val="00EF70F3"/>
    <w:rsid w:val="00F025A2"/>
    <w:rsid w:val="00F0387D"/>
    <w:rsid w:val="00F04712"/>
    <w:rsid w:val="00F05A9A"/>
    <w:rsid w:val="00F05E68"/>
    <w:rsid w:val="00F06F13"/>
    <w:rsid w:val="00F10C13"/>
    <w:rsid w:val="00F11032"/>
    <w:rsid w:val="00F11797"/>
    <w:rsid w:val="00F139DD"/>
    <w:rsid w:val="00F164A5"/>
    <w:rsid w:val="00F2012F"/>
    <w:rsid w:val="00F21311"/>
    <w:rsid w:val="00F22EC7"/>
    <w:rsid w:val="00F257E9"/>
    <w:rsid w:val="00F26AEA"/>
    <w:rsid w:val="00F273A7"/>
    <w:rsid w:val="00F301AE"/>
    <w:rsid w:val="00F325C8"/>
    <w:rsid w:val="00F35AB6"/>
    <w:rsid w:val="00F35AF1"/>
    <w:rsid w:val="00F479E3"/>
    <w:rsid w:val="00F51B2A"/>
    <w:rsid w:val="00F5223A"/>
    <w:rsid w:val="00F52DA4"/>
    <w:rsid w:val="00F5383E"/>
    <w:rsid w:val="00F53D32"/>
    <w:rsid w:val="00F554C0"/>
    <w:rsid w:val="00F606C5"/>
    <w:rsid w:val="00F62AEB"/>
    <w:rsid w:val="00F62FE7"/>
    <w:rsid w:val="00F6320E"/>
    <w:rsid w:val="00F653B8"/>
    <w:rsid w:val="00F70647"/>
    <w:rsid w:val="00F726BB"/>
    <w:rsid w:val="00F73306"/>
    <w:rsid w:val="00F73739"/>
    <w:rsid w:val="00F7495C"/>
    <w:rsid w:val="00F81329"/>
    <w:rsid w:val="00F8222B"/>
    <w:rsid w:val="00F82B63"/>
    <w:rsid w:val="00F83CC5"/>
    <w:rsid w:val="00F87D29"/>
    <w:rsid w:val="00F87F02"/>
    <w:rsid w:val="00F90DD7"/>
    <w:rsid w:val="00F92808"/>
    <w:rsid w:val="00F92A73"/>
    <w:rsid w:val="00FA0FE9"/>
    <w:rsid w:val="00FA1266"/>
    <w:rsid w:val="00FA3C65"/>
    <w:rsid w:val="00FA4898"/>
    <w:rsid w:val="00FA72B4"/>
    <w:rsid w:val="00FB5750"/>
    <w:rsid w:val="00FB6D5E"/>
    <w:rsid w:val="00FC1192"/>
    <w:rsid w:val="00FC679B"/>
    <w:rsid w:val="00FC6CC7"/>
    <w:rsid w:val="00FC7F4C"/>
    <w:rsid w:val="00FD600B"/>
    <w:rsid w:val="00FD7F67"/>
    <w:rsid w:val="00FD7FAC"/>
    <w:rsid w:val="00FE2102"/>
    <w:rsid w:val="00FE283A"/>
    <w:rsid w:val="00FE30ED"/>
    <w:rsid w:val="00FE663F"/>
    <w:rsid w:val="00FE7C2E"/>
    <w:rsid w:val="00FF4334"/>
    <w:rsid w:val="00FF4834"/>
    <w:rsid w:val="00FF56B8"/>
    <w:rsid w:val="00FF5DBF"/>
    <w:rsid w:val="0CDF7046"/>
    <w:rsid w:val="1C51772B"/>
    <w:rsid w:val="45A15CCD"/>
    <w:rsid w:val="5D0C562F"/>
    <w:rsid w:val="61047F1E"/>
    <w:rsid w:val="614007D4"/>
    <w:rsid w:val="63DA585E"/>
    <w:rsid w:val="7F00017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43D83B"/>
  <w15:docId w15:val="{B024E753-9672-4C60-BE00-DF5BB36EF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38FF"/>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1200"/>
    </w:pPr>
  </w:style>
  <w:style w:type="paragraph" w:styleId="TOC6">
    <w:name w:val="toc 6"/>
    <w:basedOn w:val="TOC5"/>
    <w:next w:val="Normal"/>
    <w:semiHidden/>
    <w:qFormat/>
    <w:pPr>
      <w:ind w:left="1000"/>
    </w:pPr>
  </w:style>
  <w:style w:type="paragraph" w:styleId="TOC5">
    <w:name w:val="toc 5"/>
    <w:basedOn w:val="TOC4"/>
    <w:next w:val="Normal"/>
    <w:semiHidden/>
    <w:qFormat/>
    <w:pPr>
      <w:ind w:left="800"/>
    </w:pPr>
  </w:style>
  <w:style w:type="paragraph" w:styleId="TOC4">
    <w:name w:val="toc 4"/>
    <w:basedOn w:val="TOC3"/>
    <w:next w:val="Normal"/>
    <w:semiHidden/>
    <w:qFormat/>
    <w:pPr>
      <w:ind w:left="600"/>
    </w:pPr>
  </w:style>
  <w:style w:type="paragraph" w:styleId="TOC3">
    <w:name w:val="toc 3"/>
    <w:basedOn w:val="TOC2"/>
    <w:next w:val="Normal"/>
    <w:semiHidden/>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basedOn w:val="Proposal"/>
    <w:next w:val="Normal"/>
    <w:uiPriority w:val="39"/>
    <w:qFormat/>
    <w:rPr>
      <w:bCs/>
    </w:rPr>
  </w:style>
  <w:style w:type="paragraph" w:customStyle="1" w:styleId="Proposal">
    <w:name w:val="Proposal"/>
    <w:basedOn w:val="Normal"/>
    <w:pPr>
      <w:tabs>
        <w:tab w:val="left" w:pos="1701"/>
      </w:tabs>
      <w:ind w:left="1701" w:hanging="1701"/>
    </w:pPr>
    <w:rPr>
      <w:b/>
    </w:rPr>
  </w:style>
  <w:style w:type="paragraph" w:styleId="TOC8">
    <w:name w:val="toc 8"/>
    <w:basedOn w:val="TOC1"/>
    <w:next w:val="Normal"/>
    <w:uiPriority w:val="39"/>
    <w:qFormat/>
    <w:pPr>
      <w:spacing w:after="0"/>
      <w:ind w:left="1400"/>
    </w:pPr>
    <w:rPr>
      <w:b w:val="0"/>
      <w:bCs w:val="0"/>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styleId="TOC9">
    <w:name w:val="toc 9"/>
    <w:basedOn w:val="TOC8"/>
    <w:next w:val="Normal"/>
    <w:uiPriority w:val="39"/>
    <w:qFormat/>
    <w:pPr>
      <w:ind w:left="1600"/>
    </w:pPr>
  </w:style>
  <w:style w:type="paragraph" w:styleId="NormalWeb">
    <w:name w:val="Normal (Web)"/>
    <w:basedOn w:val="Normal"/>
    <w:uiPriority w:val="99"/>
    <w:unhideWhenUsed/>
    <w:qFormat/>
    <w:pPr>
      <w:spacing w:before="100" w:beforeAutospacing="1" w:after="100" w:afterAutospacing="1"/>
    </w:pPr>
    <w:rPr>
      <w:sz w:val="24"/>
      <w:szCs w:val="24"/>
      <w:lang w:val="en-US" w:eastAsia="zh-TW"/>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Pr>
      <w:color w:val="0563C1" w:themeColor="hyperlink"/>
      <w:u w:val="single"/>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numPr>
        <w:numId w:val="1"/>
      </w:numPr>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CH">
    <w:name w:val="CH"/>
    <w:basedOn w:val="Normal"/>
    <w:qFormat/>
    <w:pPr>
      <w:tabs>
        <w:tab w:val="left" w:pos="2268"/>
        <w:tab w:val="right" w:pos="7920"/>
        <w:tab w:val="right" w:pos="9639"/>
      </w:tabs>
      <w:spacing w:after="0"/>
    </w:pPr>
    <w:rPr>
      <w:rFonts w:ascii="Arial" w:hAnsi="Arial" w:cs="Arial"/>
      <w:b/>
      <w:sz w:val="24"/>
    </w:rPr>
  </w:style>
  <w:style w:type="paragraph" w:customStyle="1" w:styleId="1">
    <w:name w:val="変更箇所1"/>
    <w:hidden/>
    <w:uiPriority w:val="99"/>
    <w:semiHidden/>
    <w:rPr>
      <w:lang w:val="en-GB" w:eastAsia="en-US"/>
    </w:rPr>
  </w:style>
  <w:style w:type="paragraph" w:customStyle="1" w:styleId="Observation">
    <w:name w:val="Observation"/>
    <w:basedOn w:val="Normal"/>
    <w:qFormat/>
    <w:pPr>
      <w:tabs>
        <w:tab w:val="left" w:pos="1701"/>
      </w:tabs>
      <w:ind w:left="1701" w:hanging="1701"/>
    </w:pPr>
    <w:rPr>
      <w:i/>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
    <w:basedOn w:val="Normal"/>
    <w:link w:val="ListParagraphChar"/>
    <w:uiPriority w:val="34"/>
    <w:qFormat/>
    <w:pPr>
      <w:ind w:left="720"/>
      <w:contextualSpacing/>
    </w:pPr>
  </w:style>
  <w:style w:type="character" w:customStyle="1" w:styleId="B1Char">
    <w:name w:val="B1 Char"/>
    <w:link w:val="B1"/>
    <w:qFormat/>
    <w:locked/>
    <w:rPr>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ANChar">
    <w:name w:val="TAN Char"/>
    <w:link w:val="TAN"/>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Pr>
      <w:lang w:eastAsia="en-US"/>
    </w:rPr>
  </w:style>
  <w:style w:type="paragraph" w:styleId="Revision">
    <w:name w:val="Revision"/>
    <w:hidden/>
    <w:uiPriority w:val="99"/>
    <w:semiHidden/>
    <w:rsid w:val="00813BA9"/>
    <w:rPr>
      <w:lang w:val="en-GB" w:eastAsia="en-US"/>
    </w:rPr>
  </w:style>
  <w:style w:type="paragraph" w:styleId="Caption">
    <w:name w:val="caption"/>
    <w:basedOn w:val="Normal"/>
    <w:next w:val="Normal"/>
    <w:unhideWhenUsed/>
    <w:qFormat/>
    <w:rsid w:val="008F64D0"/>
    <w:pPr>
      <w:spacing w:after="200"/>
    </w:pPr>
    <w:rPr>
      <w:i/>
      <w:iCs/>
      <w:color w:val="44546A" w:themeColor="text2"/>
      <w:sz w:val="18"/>
      <w:szCs w:val="18"/>
    </w:rPr>
  </w:style>
  <w:style w:type="character" w:customStyle="1" w:styleId="TALCar">
    <w:name w:val="TAL Car"/>
    <w:link w:val="TAL"/>
    <w:qFormat/>
    <w:rsid w:val="000940D3"/>
    <w:rPr>
      <w:rFonts w:ascii="Arial" w:hAnsi="Arial"/>
      <w:sz w:val="18"/>
      <w:lang w:val="en-GB" w:eastAsia="en-US"/>
    </w:rPr>
  </w:style>
  <w:style w:type="paragraph" w:customStyle="1" w:styleId="Reference">
    <w:name w:val="Reference"/>
    <w:basedOn w:val="Normal"/>
    <w:uiPriority w:val="99"/>
    <w:qFormat/>
    <w:rsid w:val="000940D3"/>
    <w:pPr>
      <w:numPr>
        <w:numId w:val="12"/>
      </w:numPr>
      <w:tabs>
        <w:tab w:val="num" w:pos="720"/>
      </w:tabs>
      <w:spacing w:after="0"/>
      <w:ind w:left="720" w:hanging="360"/>
    </w:pPr>
    <w:rPr>
      <w:rFonts w:eastAsia="MS Mincho"/>
      <w:lang w:eastAsia="en-GB"/>
    </w:rPr>
  </w:style>
  <w:style w:type="character" w:customStyle="1" w:styleId="EXChar">
    <w:name w:val="EX Char"/>
    <w:link w:val="EX"/>
    <w:qFormat/>
    <w:rsid w:val="00A5330E"/>
    <w:rPr>
      <w:lang w:val="en-GB" w:eastAsia="en-US"/>
    </w:rPr>
  </w:style>
  <w:style w:type="character" w:styleId="FollowedHyperlink">
    <w:name w:val="FollowedHyperlink"/>
    <w:basedOn w:val="DefaultParagraphFont"/>
    <w:semiHidden/>
    <w:unhideWhenUsed/>
    <w:rsid w:val="00D3013B"/>
    <w:rPr>
      <w:color w:val="954F72" w:themeColor="followedHyperlink"/>
      <w:u w:val="single"/>
    </w:rPr>
  </w:style>
  <w:style w:type="paragraph" w:customStyle="1" w:styleId="ECCParagraph">
    <w:name w:val="ECC Paragraph"/>
    <w:basedOn w:val="Normal"/>
    <w:rsid w:val="004C1CD9"/>
    <w:pPr>
      <w:spacing w:after="240"/>
      <w:jc w:val="both"/>
    </w:pPr>
    <w:rPr>
      <w:rFonts w:ascii="Arial" w:eastAsia="Times New Roman" w:hAnsi="Arial"/>
      <w:szCs w:val="24"/>
    </w:rPr>
  </w:style>
  <w:style w:type="paragraph" w:customStyle="1" w:styleId="ECCAnnex-heading1">
    <w:name w:val="ECC Annex - heading1"/>
    <w:basedOn w:val="Heading1"/>
    <w:next w:val="ECCParagraph"/>
    <w:rsid w:val="004C1CD9"/>
    <w:pPr>
      <w:keepLines w:val="0"/>
      <w:pageBreakBefore/>
      <w:numPr>
        <w:numId w:val="14"/>
      </w:numPr>
      <w:pBdr>
        <w:top w:val="none" w:sz="0" w:space="0" w:color="auto"/>
      </w:pBdr>
      <w:spacing w:before="400" w:after="240"/>
      <w:jc w:val="both"/>
    </w:pPr>
    <w:rPr>
      <w:rFonts w:eastAsia="Times New Roman" w:cs="Arial"/>
      <w:b/>
      <w:bCs/>
      <w:caps/>
      <w:color w:val="D2232A"/>
      <w:kern w:val="32"/>
      <w:sz w:val="20"/>
      <w:szCs w:val="32"/>
    </w:rPr>
  </w:style>
  <w:style w:type="paragraph" w:customStyle="1" w:styleId="ECCAnnexheading2">
    <w:name w:val="ECC Annex heading2"/>
    <w:basedOn w:val="Normal"/>
    <w:next w:val="ECCParagraph"/>
    <w:rsid w:val="004C1CD9"/>
    <w:pPr>
      <w:numPr>
        <w:ilvl w:val="1"/>
        <w:numId w:val="14"/>
      </w:numPr>
      <w:overflowPunct w:val="0"/>
      <w:autoSpaceDE w:val="0"/>
      <w:autoSpaceDN w:val="0"/>
      <w:adjustRightInd w:val="0"/>
      <w:spacing w:before="480" w:after="240"/>
      <w:textAlignment w:val="baseline"/>
    </w:pPr>
    <w:rPr>
      <w:rFonts w:ascii="Arial" w:eastAsia="Times New Roman" w:hAnsi="Arial"/>
      <w:b/>
      <w:caps/>
      <w:szCs w:val="24"/>
      <w:lang w:val="en-US"/>
    </w:rPr>
  </w:style>
  <w:style w:type="paragraph" w:customStyle="1" w:styleId="ECCAnnexheading3">
    <w:name w:val="ECC Annex heading3"/>
    <w:basedOn w:val="Normal"/>
    <w:next w:val="ECCParagraph"/>
    <w:rsid w:val="004C1CD9"/>
    <w:pPr>
      <w:numPr>
        <w:ilvl w:val="2"/>
        <w:numId w:val="14"/>
      </w:numPr>
      <w:overflowPunct w:val="0"/>
      <w:autoSpaceDE w:val="0"/>
      <w:autoSpaceDN w:val="0"/>
      <w:adjustRightInd w:val="0"/>
      <w:spacing w:before="360" w:after="120"/>
      <w:textAlignment w:val="baseline"/>
    </w:pPr>
    <w:rPr>
      <w:rFonts w:ascii="Arial" w:eastAsia="Times New Roman" w:hAnsi="Arial"/>
      <w:b/>
      <w:szCs w:val="24"/>
      <w:lang w:val="en-US"/>
    </w:rPr>
  </w:style>
  <w:style w:type="paragraph" w:customStyle="1" w:styleId="ECCAnnexheading4">
    <w:name w:val="ECC Annex heading4"/>
    <w:basedOn w:val="Normal"/>
    <w:next w:val="ECCParagraph"/>
    <w:rsid w:val="004C1CD9"/>
    <w:pPr>
      <w:numPr>
        <w:ilvl w:val="3"/>
        <w:numId w:val="14"/>
      </w:numPr>
      <w:overflowPunct w:val="0"/>
      <w:autoSpaceDE w:val="0"/>
      <w:autoSpaceDN w:val="0"/>
      <w:adjustRightInd w:val="0"/>
      <w:spacing w:before="360" w:after="120"/>
      <w:textAlignment w:val="baseline"/>
    </w:pPr>
    <w:rPr>
      <w:rFonts w:ascii="Arial" w:eastAsia="Times New Roman" w:hAnsi="Arial"/>
      <w:i/>
      <w:color w:val="D2232A"/>
      <w:szCs w:val="24"/>
      <w:lang w:val="en-US"/>
    </w:rPr>
  </w:style>
  <w:style w:type="paragraph" w:customStyle="1" w:styleId="ECCBulletsLv1">
    <w:name w:val="ECC Bullets Lv1"/>
    <w:basedOn w:val="Normal"/>
    <w:qFormat/>
    <w:rsid w:val="004C1CD9"/>
    <w:pPr>
      <w:numPr>
        <w:numId w:val="15"/>
      </w:numPr>
      <w:tabs>
        <w:tab w:val="left" w:pos="340"/>
      </w:tabs>
      <w:spacing w:after="60" w:line="276" w:lineRule="auto"/>
      <w:contextualSpacing/>
      <w:jc w:val="both"/>
    </w:pPr>
    <w:rPr>
      <w:rFonts w:ascii="Arial" w:eastAsia="Calibri" w:hAnsi="Arial"/>
      <w:szCs w:val="22"/>
    </w:rPr>
  </w:style>
  <w:style w:type="paragraph" w:styleId="FootnoteText">
    <w:name w:val="footnote text"/>
    <w:basedOn w:val="Normal"/>
    <w:link w:val="FootnoteTextChar"/>
    <w:uiPriority w:val="99"/>
    <w:qFormat/>
    <w:rsid w:val="00753A0D"/>
    <w:pPr>
      <w:spacing w:after="0"/>
    </w:pPr>
    <w:rPr>
      <w:rFonts w:ascii="Arial" w:eastAsia="Times New Roman" w:hAnsi="Arial"/>
      <w:lang w:val="en-US"/>
    </w:rPr>
  </w:style>
  <w:style w:type="character" w:customStyle="1" w:styleId="FootnoteTextChar">
    <w:name w:val="Footnote Text Char"/>
    <w:basedOn w:val="DefaultParagraphFont"/>
    <w:link w:val="FootnoteText"/>
    <w:uiPriority w:val="99"/>
    <w:qFormat/>
    <w:rsid w:val="00753A0D"/>
    <w:rPr>
      <w:rFonts w:ascii="Arial" w:eastAsia="Times New Roman" w:hAnsi="Arial"/>
      <w:lang w:eastAsia="en-US"/>
    </w:rPr>
  </w:style>
  <w:style w:type="character" w:styleId="FootnoteReference">
    <w:name w:val="footnote reference"/>
    <w:basedOn w:val="DefaultParagraphFont"/>
    <w:uiPriority w:val="99"/>
    <w:qFormat/>
    <w:rsid w:val="00753A0D"/>
    <w:rPr>
      <w:vertAlign w:val="superscript"/>
    </w:rPr>
  </w:style>
  <w:style w:type="paragraph" w:customStyle="1" w:styleId="Header7">
    <w:name w:val="Header 7"/>
    <w:basedOn w:val="H6"/>
    <w:rsid w:val="001D6A40"/>
    <w:pPr>
      <w:overflowPunct w:val="0"/>
      <w:autoSpaceDE w:val="0"/>
      <w:autoSpaceDN w:val="0"/>
      <w:adjustRightInd w:val="0"/>
      <w:textAlignment w:val="baseline"/>
    </w:pPr>
    <w:rPr>
      <w:rFonts w:eastAsia="Times New Roman"/>
      <w:lang w:eastAsia="en-GB"/>
    </w:rPr>
  </w:style>
  <w:style w:type="character" w:customStyle="1" w:styleId="Heading1Char">
    <w:name w:val="Heading 1 Char"/>
    <w:basedOn w:val="DefaultParagraphFont"/>
    <w:link w:val="Heading1"/>
    <w:rsid w:val="00AE7A9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42">
      <w:bodyDiv w:val="1"/>
      <w:marLeft w:val="0"/>
      <w:marRight w:val="0"/>
      <w:marTop w:val="0"/>
      <w:marBottom w:val="0"/>
      <w:divBdr>
        <w:top w:val="none" w:sz="0" w:space="0" w:color="auto"/>
        <w:left w:val="none" w:sz="0" w:space="0" w:color="auto"/>
        <w:bottom w:val="none" w:sz="0" w:space="0" w:color="auto"/>
        <w:right w:val="none" w:sz="0" w:space="0" w:color="auto"/>
      </w:divBdr>
    </w:div>
    <w:div w:id="3781644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18"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wmf"/><Relationship Id="rId5" Type="http://schemas.openxmlformats.org/officeDocument/2006/relationships/styles" Target="styles.xml"/><Relationship Id="rId15" Type="http://schemas.openxmlformats.org/officeDocument/2006/relationships/image" Target="media/image4.wmf"/><Relationship Id="rId10" Type="http://schemas.openxmlformats.org/officeDocument/2006/relationships/image" Target="media/image1.png"/><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ushikim18\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7BA8E4-77FC-4EF1-B81B-F64214BFC7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4</Pages>
  <Words>1387</Words>
  <Characters>7912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Apple Inc</Company>
  <LinksUpToDate>false</LinksUpToDate>
  <CharactersWithSpaces>9281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Laurent Noel</dc:creator>
  <cp:lastModifiedBy>Laurent Noel</cp:lastModifiedBy>
  <cp:revision>6</cp:revision>
  <cp:lastPrinted>2019-02-25T14:05:00Z</cp:lastPrinted>
  <dcterms:created xsi:type="dcterms:W3CDTF">2024-03-01T06:48:00Z</dcterms:created>
  <dcterms:modified xsi:type="dcterms:W3CDTF">2024-03-01T07:16:00Z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ileWhereFroms">
    <vt:lpwstr>PpjeLB1gRN0lwrPqMaCTkrwPQuRMqg8CDOk2FChmrUmDt+0zmADuFBFgMEzfEOFQuT2DPVtbPiCZ0lckmJELK2++KcU252yufq+wMQGt4oI8zLUqeAphaZ42FoUICpVVeWsluWv/KFRH+M8oeV2dtfypd1AlsMjyybcVEjKz7rs0fQaOkw+9e7uMExHHJqks94mjfj1Ci9G8vVUYUXGTQGAIZV32A2hqVBwgVPxM9wY6Wom7I13M2nvWgyDpD1k</vt:lpwstr>
  </property>
  <property fmtid="{D5CDD505-2E9C-101B-9397-08002B2CF9AE}" pid="4" name="KSOProductBuildVer">
    <vt:lpwstr>2052-11.8.2.10393</vt:lpwstr>
  </property>
</Properties>
</file>